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1466" w14:textId="0C79EB91" w:rsidR="005E32C9" w:rsidRPr="00757490" w:rsidRDefault="005E32C9" w:rsidP="00DD030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46712287"/>
      <w:r w:rsidRPr="00757490">
        <w:rPr>
          <w:rFonts w:asciiTheme="minorHAnsi" w:hAnsiTheme="minorHAnsi" w:cstheme="minorHAnsi"/>
          <w:b/>
          <w:sz w:val="32"/>
          <w:szCs w:val="32"/>
        </w:rPr>
        <w:t>SMLOUVA O POSKYTOVÁNÍ PRACOVNĚLÉKAŘSKÝCH SLUŽEB</w:t>
      </w:r>
    </w:p>
    <w:p w14:paraId="0C4D4514" w14:textId="77777777" w:rsidR="00613635" w:rsidRP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Nemocnice Znojmo, příspěvková organizace</w:t>
      </w:r>
    </w:p>
    <w:p w14:paraId="5CA93189" w14:textId="062D9037" w:rsidR="00613635" w:rsidRP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zapsaná v OR vedeném Krajským soudem v Brně, </w:t>
      </w:r>
      <w:proofErr w:type="spellStart"/>
      <w:r w:rsidRPr="00DC1623">
        <w:rPr>
          <w:rFonts w:ascii="PT Sans" w:hAnsi="PT Sans" w:cstheme="minorHAnsi"/>
        </w:rPr>
        <w:t>Pr</w:t>
      </w:r>
      <w:proofErr w:type="spellEnd"/>
      <w:r w:rsidRPr="00DC1623">
        <w:rPr>
          <w:rFonts w:ascii="PT Sans" w:hAnsi="PT Sans" w:cstheme="minorHAnsi"/>
        </w:rPr>
        <w:t xml:space="preserve"> 1229</w:t>
      </w:r>
    </w:p>
    <w:p w14:paraId="2B8D2837" w14:textId="77777777" w:rsid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se sídlem MUDr. Jana Janského 11, 669 02 Znojmo</w:t>
      </w:r>
    </w:p>
    <w:p w14:paraId="73D3E278" w14:textId="2629C592" w:rsidR="00613635" w:rsidRP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zastoupená MUDr. Martinem Pavlíkem, Ph.D., DESA, EDIC, ředitelem</w:t>
      </w:r>
    </w:p>
    <w:p w14:paraId="22A407B6" w14:textId="5C9BF04D" w:rsidR="00613635" w:rsidRP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IČ:</w:t>
      </w:r>
      <w:r w:rsidRPr="00DC1623">
        <w:rPr>
          <w:rFonts w:ascii="PT Sans" w:hAnsi="PT Sans" w:cstheme="minorHAnsi"/>
        </w:rPr>
        <w:tab/>
        <w:t>00092584</w:t>
      </w:r>
    </w:p>
    <w:p w14:paraId="26FDDCBC" w14:textId="77777777" w:rsid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DIČ:</w:t>
      </w:r>
      <w:r w:rsidRPr="00DC1623">
        <w:rPr>
          <w:rFonts w:ascii="PT Sans" w:hAnsi="PT Sans" w:cstheme="minorHAnsi"/>
        </w:rPr>
        <w:tab/>
        <w:t>CZ00092584</w:t>
      </w:r>
    </w:p>
    <w:p w14:paraId="70426278" w14:textId="56FA51D3" w:rsidR="00613635" w:rsidRP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Bankovní spojení: KB, a.s. </w:t>
      </w:r>
    </w:p>
    <w:p w14:paraId="3DC88C5B" w14:textId="55A2B815" w:rsidR="00613635" w:rsidRPr="00DC1623" w:rsidRDefault="00613635" w:rsidP="00DC1623">
      <w:pPr>
        <w:widowControl w:val="0"/>
        <w:spacing w:before="60" w:after="0" w:line="240" w:lineRule="auto"/>
        <w:jc w:val="both"/>
        <w:rPr>
          <w:rFonts w:ascii="PT Sans" w:hAnsi="PT Sans" w:cstheme="minorHAnsi"/>
        </w:rPr>
      </w:pPr>
      <w:proofErr w:type="spellStart"/>
      <w:r w:rsidRPr="00DC1623">
        <w:rPr>
          <w:rFonts w:ascii="PT Sans" w:hAnsi="PT Sans" w:cstheme="minorHAnsi"/>
        </w:rPr>
        <w:t>č.ú</w:t>
      </w:r>
      <w:proofErr w:type="spellEnd"/>
      <w:r w:rsidRPr="00DC1623">
        <w:rPr>
          <w:rFonts w:ascii="PT Sans" w:hAnsi="PT Sans" w:cstheme="minorHAnsi"/>
        </w:rPr>
        <w:t>.:</w:t>
      </w:r>
      <w:r w:rsidRPr="00DC1623">
        <w:rPr>
          <w:rFonts w:ascii="PT Sans" w:hAnsi="PT Sans" w:cstheme="minorHAnsi"/>
        </w:rPr>
        <w:tab/>
        <w:t>14538741/ 0100</w:t>
      </w:r>
    </w:p>
    <w:p w14:paraId="48FCF11F" w14:textId="77777777" w:rsidR="005E32C9" w:rsidRPr="00DC1623" w:rsidRDefault="005E32C9" w:rsidP="00DC1623">
      <w:pPr>
        <w:spacing w:before="60" w:after="0" w:line="240" w:lineRule="auto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na straně jedné (dále jen „objednatel“)</w:t>
      </w:r>
    </w:p>
    <w:p w14:paraId="2ABAFFF7" w14:textId="77777777" w:rsidR="005E32C9" w:rsidRPr="00DC1623" w:rsidRDefault="005E32C9" w:rsidP="00DC1623">
      <w:pPr>
        <w:spacing w:before="60" w:after="0" w:line="240" w:lineRule="auto"/>
        <w:rPr>
          <w:rFonts w:ascii="PT Sans" w:hAnsi="PT Sans" w:cstheme="minorHAnsi"/>
        </w:rPr>
      </w:pPr>
    </w:p>
    <w:p w14:paraId="62FA6811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a</w:t>
      </w:r>
    </w:p>
    <w:p w14:paraId="686C0742" w14:textId="3F9F9BF2" w:rsidR="005E32C9" w:rsidRPr="00DC1623" w:rsidRDefault="00613635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 xml:space="preserve">název: </w:t>
      </w:r>
      <w:r w:rsidR="000B13AA" w:rsidRPr="00DC1623">
        <w:rPr>
          <w:rFonts w:ascii="PT Sans" w:hAnsi="PT Sans" w:cstheme="minorHAnsi"/>
          <w:b/>
        </w:rPr>
        <w:tab/>
      </w:r>
      <w:r w:rsidR="000B13AA" w:rsidRPr="00DC1623">
        <w:rPr>
          <w:rFonts w:ascii="PT Sans" w:hAnsi="PT Sans" w:cstheme="minorHAnsi"/>
          <w:b/>
        </w:rPr>
        <w:tab/>
      </w:r>
      <w:r w:rsidRPr="00DC1623">
        <w:rPr>
          <w:rFonts w:ascii="PT Sans" w:hAnsi="PT Sans" w:cstheme="minorHAnsi"/>
          <w:b/>
          <w:highlight w:val="yellow"/>
        </w:rPr>
        <w:t>XXXXXXXXXXXXXXXXXX</w:t>
      </w:r>
    </w:p>
    <w:p w14:paraId="363FC03F" w14:textId="77777777" w:rsidR="00DC1623" w:rsidRPr="00DC1623" w:rsidRDefault="00DC1623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</w:rPr>
        <w:t>zapsaná</w:t>
      </w:r>
      <w:r w:rsidRPr="00DC1623">
        <w:rPr>
          <w:rFonts w:ascii="PT Sans" w:hAnsi="PT Sans" w:cstheme="minorHAnsi"/>
        </w:rPr>
        <w:tab/>
      </w:r>
      <w:r w:rsidRPr="00DC1623">
        <w:rPr>
          <w:rFonts w:ascii="PT Sans" w:hAnsi="PT Sans" w:cstheme="minorHAnsi"/>
          <w:b/>
          <w:highlight w:val="yellow"/>
        </w:rPr>
        <w:t>XXXXXXXXXXXXXXXXXX</w:t>
      </w:r>
    </w:p>
    <w:p w14:paraId="27F23FFD" w14:textId="31F0B279" w:rsidR="00613635" w:rsidRPr="00DC1623" w:rsidRDefault="005E32C9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</w:rPr>
        <w:t xml:space="preserve">se sídlem </w:t>
      </w:r>
      <w:r w:rsidR="000B13AA" w:rsidRPr="00DC1623">
        <w:rPr>
          <w:rFonts w:ascii="PT Sans" w:hAnsi="PT Sans" w:cstheme="minorHAnsi"/>
        </w:rPr>
        <w:tab/>
      </w:r>
      <w:r w:rsidR="00613635" w:rsidRPr="00DC1623">
        <w:rPr>
          <w:rFonts w:ascii="PT Sans" w:hAnsi="PT Sans" w:cstheme="minorHAnsi"/>
          <w:b/>
          <w:highlight w:val="yellow"/>
        </w:rPr>
        <w:t>XXXXXXXXXXXXXXXXXX</w:t>
      </w:r>
    </w:p>
    <w:p w14:paraId="7DD20EA1" w14:textId="2AAC4C00" w:rsidR="00613635" w:rsidRPr="00DC1623" w:rsidRDefault="005E32C9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</w:rPr>
        <w:t xml:space="preserve">zastoupená </w:t>
      </w:r>
      <w:r w:rsidR="00613635" w:rsidRPr="00DC1623">
        <w:rPr>
          <w:rFonts w:ascii="PT Sans" w:hAnsi="PT Sans" w:cstheme="minorHAnsi"/>
        </w:rPr>
        <w:tab/>
      </w:r>
      <w:r w:rsidR="00613635" w:rsidRPr="00DC1623">
        <w:rPr>
          <w:rFonts w:ascii="PT Sans" w:hAnsi="PT Sans" w:cstheme="minorHAnsi"/>
          <w:b/>
          <w:highlight w:val="yellow"/>
        </w:rPr>
        <w:t>XXXXXXXXXXXXXXXXXX</w:t>
      </w:r>
    </w:p>
    <w:p w14:paraId="377FB0FB" w14:textId="77777777" w:rsidR="00613635" w:rsidRPr="00DC1623" w:rsidRDefault="005E32C9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</w:rPr>
        <w:t>IČ</w:t>
      </w:r>
      <w:r w:rsidR="00613635" w:rsidRPr="00DC1623">
        <w:rPr>
          <w:rFonts w:ascii="PT Sans" w:hAnsi="PT Sans" w:cstheme="minorHAnsi"/>
        </w:rPr>
        <w:t>:</w:t>
      </w:r>
      <w:r w:rsidRPr="00DC1623">
        <w:rPr>
          <w:rFonts w:ascii="PT Sans" w:hAnsi="PT Sans" w:cstheme="minorHAnsi"/>
        </w:rPr>
        <w:t xml:space="preserve"> </w:t>
      </w:r>
      <w:r w:rsidR="00613635" w:rsidRPr="00DC1623">
        <w:rPr>
          <w:rFonts w:ascii="PT Sans" w:hAnsi="PT Sans" w:cstheme="minorHAnsi"/>
        </w:rPr>
        <w:tab/>
      </w:r>
      <w:r w:rsidR="00613635" w:rsidRPr="00DC1623">
        <w:rPr>
          <w:rFonts w:ascii="PT Sans" w:hAnsi="PT Sans" w:cstheme="minorHAnsi"/>
        </w:rPr>
        <w:tab/>
      </w:r>
      <w:r w:rsidR="00613635" w:rsidRPr="00DC1623">
        <w:rPr>
          <w:rFonts w:ascii="PT Sans" w:hAnsi="PT Sans" w:cstheme="minorHAnsi"/>
          <w:b/>
          <w:highlight w:val="yellow"/>
        </w:rPr>
        <w:t>XXXXXXXXXXXXXXXXXX</w:t>
      </w:r>
    </w:p>
    <w:p w14:paraId="02BA466D" w14:textId="77777777" w:rsidR="00613635" w:rsidRPr="00DC1623" w:rsidRDefault="00613635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</w:rPr>
        <w:t>DIČ:</w:t>
      </w:r>
      <w:r w:rsidRPr="00DC1623">
        <w:rPr>
          <w:rFonts w:ascii="PT Sans" w:hAnsi="PT Sans" w:cstheme="minorHAnsi"/>
        </w:rPr>
        <w:tab/>
      </w:r>
      <w:r w:rsidRPr="00DC1623">
        <w:rPr>
          <w:rFonts w:ascii="PT Sans" w:hAnsi="PT Sans" w:cstheme="minorHAnsi"/>
        </w:rPr>
        <w:tab/>
      </w:r>
      <w:r w:rsidRPr="00DC1623">
        <w:rPr>
          <w:rFonts w:ascii="PT Sans" w:hAnsi="PT Sans" w:cstheme="minorHAnsi"/>
          <w:b/>
          <w:highlight w:val="yellow"/>
        </w:rPr>
        <w:t>XXXXXXXXXXXXXXXXXX</w:t>
      </w:r>
    </w:p>
    <w:p w14:paraId="667E83D1" w14:textId="77777777" w:rsidR="00613635" w:rsidRPr="00DC1623" w:rsidRDefault="00613635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</w:rPr>
        <w:t xml:space="preserve">Bankovní spojení: </w:t>
      </w:r>
      <w:r w:rsidRPr="00DC1623">
        <w:rPr>
          <w:rFonts w:ascii="PT Sans" w:hAnsi="PT Sans" w:cstheme="minorHAnsi"/>
          <w:b/>
          <w:highlight w:val="yellow"/>
        </w:rPr>
        <w:t>XXXXXXXXXXXXXXXXXX</w:t>
      </w:r>
    </w:p>
    <w:p w14:paraId="19AEA031" w14:textId="2CB90796" w:rsidR="00613635" w:rsidRPr="00DC1623" w:rsidRDefault="00613635" w:rsidP="00DC1623">
      <w:pPr>
        <w:spacing w:before="60" w:after="0" w:line="240" w:lineRule="auto"/>
        <w:rPr>
          <w:rFonts w:ascii="PT Sans" w:hAnsi="PT Sans" w:cstheme="minorHAnsi"/>
          <w:b/>
        </w:rPr>
      </w:pPr>
      <w:proofErr w:type="spellStart"/>
      <w:r w:rsidRPr="00DC1623">
        <w:rPr>
          <w:rFonts w:ascii="PT Sans" w:hAnsi="PT Sans" w:cstheme="minorHAnsi"/>
        </w:rPr>
        <w:t>č.ú</w:t>
      </w:r>
      <w:proofErr w:type="spellEnd"/>
      <w:r w:rsidRPr="00DC1623">
        <w:rPr>
          <w:rFonts w:ascii="PT Sans" w:hAnsi="PT Sans" w:cstheme="minorHAnsi"/>
        </w:rPr>
        <w:t xml:space="preserve">.: </w:t>
      </w:r>
      <w:r w:rsidRPr="00DC1623">
        <w:rPr>
          <w:rFonts w:ascii="PT Sans" w:hAnsi="PT Sans" w:cstheme="minorHAnsi"/>
        </w:rPr>
        <w:tab/>
      </w:r>
      <w:r w:rsidRPr="00DC1623">
        <w:rPr>
          <w:rFonts w:ascii="PT Sans" w:hAnsi="PT Sans" w:cstheme="minorHAnsi"/>
        </w:rPr>
        <w:tab/>
      </w:r>
      <w:r w:rsidRPr="00DC1623">
        <w:rPr>
          <w:rFonts w:ascii="PT Sans" w:hAnsi="PT Sans" w:cstheme="minorHAnsi"/>
          <w:b/>
          <w:highlight w:val="yellow"/>
        </w:rPr>
        <w:t>XXXXXXXXXXXXXXXXXX</w:t>
      </w:r>
    </w:p>
    <w:p w14:paraId="055580E0" w14:textId="77777777" w:rsidR="00BC703F" w:rsidRPr="00DC1623" w:rsidRDefault="00BC703F" w:rsidP="00BC703F">
      <w:pPr>
        <w:spacing w:before="60" w:after="0" w:line="240" w:lineRule="auto"/>
        <w:rPr>
          <w:rFonts w:ascii="PT Sans" w:hAnsi="PT Sans" w:cstheme="minorHAnsi"/>
          <w:b/>
        </w:rPr>
      </w:pPr>
      <w:r>
        <w:rPr>
          <w:rFonts w:ascii="PT Sans" w:hAnsi="PT Sans" w:cstheme="minorHAnsi"/>
        </w:rPr>
        <w:t>IČZ: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DC1623">
        <w:rPr>
          <w:rFonts w:ascii="PT Sans" w:hAnsi="PT Sans" w:cstheme="minorHAnsi"/>
          <w:b/>
          <w:highlight w:val="yellow"/>
        </w:rPr>
        <w:t>XXXXXXXXXXXXXXXXXX</w:t>
      </w:r>
    </w:p>
    <w:p w14:paraId="0BC67400" w14:textId="2585BECC" w:rsidR="00DC1623" w:rsidRPr="00DC1623" w:rsidRDefault="00DC1623" w:rsidP="00DC1623">
      <w:pPr>
        <w:spacing w:before="60" w:after="0" w:line="240" w:lineRule="auto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</w:rPr>
        <w:t xml:space="preserve">místo poskytování zdravotních služeb: </w:t>
      </w:r>
      <w:r w:rsidRPr="00DC1623">
        <w:rPr>
          <w:rFonts w:ascii="PT Sans" w:hAnsi="PT Sans" w:cstheme="minorHAnsi"/>
          <w:b/>
          <w:highlight w:val="yellow"/>
        </w:rPr>
        <w:t>XXXXXXXXXXXXXXXXXX</w:t>
      </w:r>
    </w:p>
    <w:p w14:paraId="4B18C3FF" w14:textId="298D324F" w:rsidR="005E32C9" w:rsidRPr="00DC1623" w:rsidRDefault="005E32C9" w:rsidP="00DC1623">
      <w:pPr>
        <w:spacing w:before="60" w:after="0" w:line="240" w:lineRule="auto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na straně druhé (dále jen „poskytovatel“) </w:t>
      </w:r>
    </w:p>
    <w:p w14:paraId="1023E5AE" w14:textId="77777777" w:rsidR="005E32C9" w:rsidRPr="00DC1623" w:rsidRDefault="005E32C9" w:rsidP="00DC1623">
      <w:pPr>
        <w:spacing w:before="60" w:after="0" w:line="240" w:lineRule="auto"/>
        <w:rPr>
          <w:rFonts w:ascii="PT Sans" w:hAnsi="PT Sans" w:cstheme="minorHAnsi"/>
        </w:rPr>
      </w:pPr>
    </w:p>
    <w:p w14:paraId="4C2F0818" w14:textId="2F5B48A8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uzavírají dle </w:t>
      </w:r>
      <w:proofErr w:type="spellStart"/>
      <w:r w:rsidRPr="00DC1623">
        <w:rPr>
          <w:rFonts w:ascii="PT Sans" w:hAnsi="PT Sans" w:cstheme="minorHAnsi"/>
        </w:rPr>
        <w:t>ust</w:t>
      </w:r>
      <w:proofErr w:type="spellEnd"/>
      <w:r w:rsidRPr="00DC1623">
        <w:rPr>
          <w:rFonts w:ascii="PT Sans" w:hAnsi="PT Sans" w:cstheme="minorHAnsi"/>
        </w:rPr>
        <w:t>. § 54 odst. 2 zákona č. 373/2011 Sb., o specifických zdravotních službách, ve znění pozdějších předpisů (dále jen „</w:t>
      </w:r>
      <w:r w:rsidR="00613635" w:rsidRPr="00DC1623">
        <w:rPr>
          <w:rFonts w:ascii="PT Sans" w:hAnsi="PT Sans" w:cstheme="minorHAnsi"/>
        </w:rPr>
        <w:t>ZSZS</w:t>
      </w:r>
      <w:r w:rsidRPr="00DC1623">
        <w:rPr>
          <w:rFonts w:ascii="PT Sans" w:hAnsi="PT Sans" w:cstheme="minorHAnsi"/>
        </w:rPr>
        <w:t xml:space="preserve">“), tuto </w:t>
      </w:r>
    </w:p>
    <w:p w14:paraId="3CF22E72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31EC9332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smlouvu o poskytování pracovnělékařských služeb</w:t>
      </w:r>
    </w:p>
    <w:p w14:paraId="5BD7BF74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(dále jen „smlouva“):</w:t>
      </w:r>
    </w:p>
    <w:p w14:paraId="2B4AB68A" w14:textId="77777777" w:rsidR="00671EDE" w:rsidRDefault="00671EDE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56A2BD00" w14:textId="49C1CFB9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I.</w:t>
      </w:r>
    </w:p>
    <w:p w14:paraId="3C399FE9" w14:textId="297C527B" w:rsidR="005E32C9" w:rsidRPr="00DC1623" w:rsidRDefault="00613635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Účel a p</w:t>
      </w:r>
      <w:r w:rsidR="005E32C9" w:rsidRPr="00DC1623">
        <w:rPr>
          <w:rFonts w:ascii="PT Sans" w:hAnsi="PT Sans" w:cstheme="minorHAnsi"/>
          <w:b/>
        </w:rPr>
        <w:t>ředmět smlouvy</w:t>
      </w:r>
    </w:p>
    <w:p w14:paraId="09B8919A" w14:textId="1CE0B3C4" w:rsidR="005E32C9" w:rsidRPr="003B3FDC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1) </w:t>
      </w:r>
      <w:r w:rsidR="00613635" w:rsidRPr="003B3FDC">
        <w:rPr>
          <w:rFonts w:ascii="PT Sans" w:hAnsi="PT Sans" w:cstheme="minorHAnsi"/>
        </w:rPr>
        <w:t xml:space="preserve">Účelem této </w:t>
      </w:r>
      <w:r w:rsidRPr="003B3FDC">
        <w:rPr>
          <w:rFonts w:ascii="PT Sans" w:hAnsi="PT Sans" w:cstheme="minorHAnsi"/>
        </w:rPr>
        <w:t xml:space="preserve">smlouvy je vymezení práv a povinností smluvních stran při </w:t>
      </w:r>
      <w:r w:rsidR="00BC703F" w:rsidRPr="003B3FDC">
        <w:rPr>
          <w:rFonts w:ascii="PT Sans" w:hAnsi="PT Sans" w:cstheme="minorHAnsi"/>
        </w:rPr>
        <w:t xml:space="preserve">poskytování </w:t>
      </w:r>
      <w:r w:rsidRPr="003B3FDC">
        <w:rPr>
          <w:rFonts w:ascii="PT Sans" w:hAnsi="PT Sans" w:cstheme="minorHAnsi"/>
        </w:rPr>
        <w:t>pracovnělékařských služeb</w:t>
      </w:r>
      <w:r w:rsidR="00613635" w:rsidRPr="003B3FDC">
        <w:rPr>
          <w:rFonts w:ascii="PT Sans" w:hAnsi="PT Sans" w:cstheme="minorHAnsi"/>
        </w:rPr>
        <w:t xml:space="preserve"> poskytovatelem pro objednatele</w:t>
      </w:r>
      <w:r w:rsidRPr="003B3FDC">
        <w:rPr>
          <w:rFonts w:ascii="PT Sans" w:hAnsi="PT Sans" w:cstheme="minorHAnsi"/>
        </w:rPr>
        <w:t>.</w:t>
      </w:r>
      <w:r w:rsidR="009D2784" w:rsidRPr="003B3FDC">
        <w:rPr>
          <w:rFonts w:ascii="PT Sans" w:hAnsi="PT Sans" w:cstheme="minorHAnsi"/>
        </w:rPr>
        <w:t xml:space="preserve"> </w:t>
      </w:r>
    </w:p>
    <w:p w14:paraId="7C1321AD" w14:textId="07337545" w:rsidR="00613635" w:rsidRPr="003B3FDC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2) </w:t>
      </w:r>
      <w:r w:rsidR="009D2784" w:rsidRPr="003B3FDC">
        <w:rPr>
          <w:rFonts w:ascii="PT Sans" w:hAnsi="PT Sans" w:cstheme="minorHAnsi"/>
        </w:rPr>
        <w:t xml:space="preserve">Poskytovatel prohlašuje, že je plně způsobilý a oprávněn k poskytování pracovnělékařských služeb a </w:t>
      </w:r>
      <w:r w:rsidRPr="003B3FDC">
        <w:rPr>
          <w:rFonts w:ascii="PT Sans" w:hAnsi="PT Sans" w:cstheme="minorHAnsi"/>
        </w:rPr>
        <w:t xml:space="preserve">zavazuje </w:t>
      </w:r>
      <w:r w:rsidR="009D2784" w:rsidRPr="003B3FDC">
        <w:rPr>
          <w:rFonts w:ascii="PT Sans" w:hAnsi="PT Sans" w:cstheme="minorHAnsi"/>
        </w:rPr>
        <w:t xml:space="preserve">se </w:t>
      </w:r>
      <w:r w:rsidRPr="003B3FDC">
        <w:rPr>
          <w:rFonts w:ascii="PT Sans" w:hAnsi="PT Sans" w:cstheme="minorHAnsi"/>
        </w:rPr>
        <w:t>zajišťovat pracovnělékařské služby podle právních předpisů, které se k této preventivní zdravotní péči vztahují (</w:t>
      </w:r>
      <w:r w:rsidR="00613635" w:rsidRPr="003B3FDC">
        <w:rPr>
          <w:rFonts w:ascii="PT Sans" w:hAnsi="PT Sans" w:cstheme="minorHAnsi"/>
        </w:rPr>
        <w:t xml:space="preserve">zejména ZSZS, </w:t>
      </w:r>
      <w:r w:rsidR="0098006A">
        <w:rPr>
          <w:rFonts w:ascii="PT Sans" w:hAnsi="PT Sans" w:cstheme="minorHAnsi"/>
        </w:rPr>
        <w:t xml:space="preserve">zákon č. 258/2000 Sb. o ochraně veřejného zdraví a o změně některých souvisejících zákonů, </w:t>
      </w:r>
      <w:r w:rsidRPr="003B3FDC">
        <w:rPr>
          <w:rFonts w:ascii="PT Sans" w:hAnsi="PT Sans" w:cstheme="minorHAnsi"/>
        </w:rPr>
        <w:t>vyhláška</w:t>
      </w:r>
      <w:r w:rsidR="00613635" w:rsidRPr="003B3FDC">
        <w:rPr>
          <w:rFonts w:ascii="PT Sans" w:hAnsi="PT Sans" w:cstheme="minorHAnsi"/>
        </w:rPr>
        <w:t xml:space="preserve"> </w:t>
      </w:r>
      <w:r w:rsidRPr="003B3FDC">
        <w:rPr>
          <w:rFonts w:ascii="PT Sans" w:hAnsi="PT Sans" w:cstheme="minorHAnsi"/>
        </w:rPr>
        <w:t>č. 79/2013 Sb.</w:t>
      </w:r>
      <w:r w:rsidR="00613635" w:rsidRPr="003B3FDC">
        <w:rPr>
          <w:rFonts w:ascii="PT Sans" w:hAnsi="PT Sans" w:cstheme="minorHAnsi"/>
        </w:rPr>
        <w:t xml:space="preserve"> o pracovnělékařských službách a některých druzích posudkové péče)</w:t>
      </w:r>
      <w:r w:rsidR="002A3E68" w:rsidRPr="003B3FDC">
        <w:rPr>
          <w:rFonts w:ascii="PT Sans" w:hAnsi="PT Sans" w:cstheme="minorHAnsi"/>
        </w:rPr>
        <w:t xml:space="preserve"> a v rozsahu a za podmínek sjednaných touto smlouvou</w:t>
      </w:r>
      <w:r w:rsidRPr="003B3FDC">
        <w:rPr>
          <w:rFonts w:ascii="PT Sans" w:hAnsi="PT Sans" w:cstheme="minorHAnsi"/>
        </w:rPr>
        <w:t>.</w:t>
      </w:r>
    </w:p>
    <w:p w14:paraId="08B68043" w14:textId="77D5871F" w:rsidR="005E32C9" w:rsidRPr="00DC1623" w:rsidRDefault="00613635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>3) Objednatel se</w:t>
      </w:r>
      <w:r w:rsidRPr="00DC1623">
        <w:rPr>
          <w:rFonts w:ascii="PT Sans" w:hAnsi="PT Sans" w:cstheme="minorHAnsi"/>
        </w:rPr>
        <w:t xml:space="preserve"> zavazuje pracovnělékařské služby poskytovateli uhradit za podmínek stanovených touto smlouvou. </w:t>
      </w:r>
    </w:p>
    <w:p w14:paraId="20E5BB2C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284A5835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II.</w:t>
      </w:r>
    </w:p>
    <w:p w14:paraId="4726BF32" w14:textId="735D1EB2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 xml:space="preserve">Rozsah </w:t>
      </w:r>
      <w:r w:rsidR="00BC703F">
        <w:rPr>
          <w:rFonts w:ascii="PT Sans" w:hAnsi="PT Sans" w:cstheme="minorHAnsi"/>
          <w:b/>
        </w:rPr>
        <w:t>služeb</w:t>
      </w:r>
    </w:p>
    <w:p w14:paraId="3481C81E" w14:textId="77777777" w:rsidR="005E32C9" w:rsidRPr="003B3FDC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1) V rámci pracovnělékařských služeb bude poskytovatel pro objednatele provádět: </w:t>
      </w:r>
    </w:p>
    <w:p w14:paraId="71E6F066" w14:textId="21BC5608" w:rsidR="005E32C9" w:rsidRPr="003B3FDC" w:rsidRDefault="005E32C9" w:rsidP="00671EDE">
      <w:pPr>
        <w:spacing w:before="60" w:after="0" w:line="240" w:lineRule="auto"/>
        <w:ind w:left="568" w:hanging="284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>a) pracovnělékařské prohlídky vstupní</w:t>
      </w:r>
      <w:r w:rsidR="000B13AA" w:rsidRPr="003B3FDC">
        <w:rPr>
          <w:rFonts w:ascii="PT Sans" w:hAnsi="PT Sans" w:cstheme="minorHAnsi"/>
        </w:rPr>
        <w:t xml:space="preserve"> u osob ucházejících se o zaměstnání u objednatele, pracovnělékařské prohlídky</w:t>
      </w:r>
      <w:r w:rsidR="00BC703F" w:rsidRPr="003B3FDC">
        <w:rPr>
          <w:rFonts w:ascii="PT Sans" w:hAnsi="PT Sans" w:cstheme="minorHAnsi"/>
        </w:rPr>
        <w:t xml:space="preserve"> vstupní,</w:t>
      </w:r>
      <w:r w:rsidR="000B13AA" w:rsidRPr="003B3FDC">
        <w:rPr>
          <w:rFonts w:ascii="PT Sans" w:hAnsi="PT Sans" w:cstheme="minorHAnsi"/>
        </w:rPr>
        <w:t xml:space="preserve"> periodické</w:t>
      </w:r>
      <w:r w:rsidR="00BC703F" w:rsidRPr="003B3FDC">
        <w:rPr>
          <w:rFonts w:ascii="PT Sans" w:hAnsi="PT Sans" w:cstheme="minorHAnsi"/>
        </w:rPr>
        <w:t xml:space="preserve"> a</w:t>
      </w:r>
      <w:r w:rsidR="000B13AA" w:rsidRPr="003B3FDC">
        <w:rPr>
          <w:rFonts w:ascii="PT Sans" w:hAnsi="PT Sans" w:cstheme="minorHAnsi"/>
        </w:rPr>
        <w:t xml:space="preserve"> mimořádné </w:t>
      </w:r>
      <w:r w:rsidR="00BC703F" w:rsidRPr="003B3FDC">
        <w:rPr>
          <w:rFonts w:ascii="PT Sans" w:hAnsi="PT Sans" w:cstheme="minorHAnsi"/>
        </w:rPr>
        <w:t xml:space="preserve">u </w:t>
      </w:r>
      <w:r w:rsidRPr="003B3FDC">
        <w:rPr>
          <w:rFonts w:ascii="PT Sans" w:hAnsi="PT Sans" w:cstheme="minorHAnsi"/>
        </w:rPr>
        <w:t>zaměstnanců objednatele za účelem posouzení zdravotní způsobilosti k</w:t>
      </w:r>
      <w:r w:rsidR="000B13AA" w:rsidRPr="003B3FDC">
        <w:rPr>
          <w:rFonts w:ascii="PT Sans" w:hAnsi="PT Sans" w:cstheme="minorHAnsi"/>
        </w:rPr>
        <w:t> </w:t>
      </w:r>
      <w:r w:rsidRPr="003B3FDC">
        <w:rPr>
          <w:rFonts w:ascii="PT Sans" w:hAnsi="PT Sans" w:cstheme="minorHAnsi"/>
        </w:rPr>
        <w:t>práci</w:t>
      </w:r>
      <w:r w:rsidR="000B13AA" w:rsidRPr="003B3FDC">
        <w:rPr>
          <w:rFonts w:ascii="PT Sans" w:hAnsi="PT Sans" w:cstheme="minorHAnsi"/>
        </w:rPr>
        <w:t xml:space="preserve"> a </w:t>
      </w:r>
      <w:r w:rsidR="00BC703F" w:rsidRPr="003B3FDC">
        <w:rPr>
          <w:rFonts w:ascii="PT Sans" w:hAnsi="PT Sans" w:cstheme="minorHAnsi"/>
        </w:rPr>
        <w:t xml:space="preserve">výstupní </w:t>
      </w:r>
      <w:r w:rsidR="00110FF0" w:rsidRPr="003B3FDC">
        <w:rPr>
          <w:rFonts w:ascii="PT Sans" w:hAnsi="PT Sans" w:cstheme="minorHAnsi"/>
        </w:rPr>
        <w:t xml:space="preserve">prohlídky </w:t>
      </w:r>
      <w:r w:rsidR="000B13AA" w:rsidRPr="003B3FDC">
        <w:rPr>
          <w:rFonts w:ascii="PT Sans" w:hAnsi="PT Sans" w:cstheme="minorHAnsi"/>
        </w:rPr>
        <w:t>za účelem zjištění zdravotního stavu zaměstnance v době ukončení výkonu práce u</w:t>
      </w:r>
      <w:r w:rsidR="00110FF0" w:rsidRPr="003B3FDC">
        <w:rPr>
          <w:rFonts w:ascii="PT Sans" w:hAnsi="PT Sans" w:cstheme="minorHAnsi"/>
        </w:rPr>
        <w:t> </w:t>
      </w:r>
      <w:r w:rsidR="000B13AA" w:rsidRPr="003B3FDC">
        <w:rPr>
          <w:rFonts w:ascii="PT Sans" w:hAnsi="PT Sans" w:cstheme="minorHAnsi"/>
        </w:rPr>
        <w:t>objednatele</w:t>
      </w:r>
      <w:r w:rsidR="00BC703F" w:rsidRPr="003B3FDC">
        <w:rPr>
          <w:rFonts w:ascii="PT Sans" w:hAnsi="PT Sans" w:cstheme="minorHAnsi"/>
        </w:rPr>
        <w:t xml:space="preserve"> (dále jen „zaměstnanec“)</w:t>
      </w:r>
      <w:r w:rsidRPr="003B3FDC">
        <w:rPr>
          <w:rFonts w:ascii="PT Sans" w:hAnsi="PT Sans" w:cstheme="minorHAnsi"/>
        </w:rPr>
        <w:t>;</w:t>
      </w:r>
    </w:p>
    <w:p w14:paraId="5DFBD6E4" w14:textId="0890CBA2" w:rsidR="000B13AA" w:rsidRPr="003B3FDC" w:rsidRDefault="005E32C9" w:rsidP="00671EDE">
      <w:pPr>
        <w:spacing w:before="60" w:after="0" w:line="240" w:lineRule="auto"/>
        <w:ind w:left="568" w:hanging="284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b) </w:t>
      </w:r>
      <w:r w:rsidR="000B13AA" w:rsidRPr="003B3FDC">
        <w:rPr>
          <w:rFonts w:ascii="PT Sans" w:hAnsi="PT Sans" w:cstheme="minorHAnsi"/>
        </w:rPr>
        <w:t>lékařské prohlídky ke zjištění zdravotního stavu ke vzdělávání a v průběhu vzdělávání žáků a studentů vykonávajících u objednatele školní či studijní praxi (dále jen „student“</w:t>
      </w:r>
      <w:r w:rsidR="009611B4" w:rsidRPr="003B3FDC">
        <w:rPr>
          <w:rFonts w:ascii="PT Sans" w:hAnsi="PT Sans" w:cstheme="minorHAnsi"/>
        </w:rPr>
        <w:t xml:space="preserve"> nebo „studenti“</w:t>
      </w:r>
      <w:r w:rsidR="000B13AA" w:rsidRPr="003B3FDC">
        <w:rPr>
          <w:rFonts w:ascii="PT Sans" w:hAnsi="PT Sans" w:cstheme="minorHAnsi"/>
        </w:rPr>
        <w:t>)</w:t>
      </w:r>
    </w:p>
    <w:p w14:paraId="43A18086" w14:textId="67DFE9E5" w:rsidR="005E32C9" w:rsidRPr="003B3FDC" w:rsidRDefault="000B13AA" w:rsidP="00671EDE">
      <w:pPr>
        <w:spacing w:before="60" w:after="0" w:line="240" w:lineRule="auto"/>
        <w:ind w:left="568" w:hanging="284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c) </w:t>
      </w:r>
      <w:r w:rsidR="005E32C9" w:rsidRPr="003B3FDC">
        <w:rPr>
          <w:rFonts w:ascii="PT Sans" w:hAnsi="PT Sans" w:cstheme="minorHAnsi"/>
        </w:rPr>
        <w:t>hodnocení vlivu pracovní činnosti, pracovního prostředí a pracovních podmínek na zdraví</w:t>
      </w:r>
      <w:r w:rsidRPr="003B3FDC">
        <w:rPr>
          <w:rFonts w:ascii="PT Sans" w:hAnsi="PT Sans" w:cstheme="minorHAnsi"/>
        </w:rPr>
        <w:t xml:space="preserve"> zaměstnanců a studentů</w:t>
      </w:r>
      <w:r w:rsidR="005E32C9" w:rsidRPr="003B3FDC">
        <w:rPr>
          <w:rFonts w:ascii="PT Sans" w:hAnsi="PT Sans" w:cstheme="minorHAnsi"/>
        </w:rPr>
        <w:t>;</w:t>
      </w:r>
    </w:p>
    <w:p w14:paraId="25CC7E1B" w14:textId="466083B5" w:rsidR="005E32C9" w:rsidRPr="003B3FDC" w:rsidRDefault="000B13AA" w:rsidP="00671EDE">
      <w:pPr>
        <w:spacing w:before="60" w:after="0" w:line="240" w:lineRule="auto"/>
        <w:ind w:left="568" w:hanging="284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>d</w:t>
      </w:r>
      <w:r w:rsidR="005E32C9" w:rsidRPr="003B3FDC">
        <w:rPr>
          <w:rFonts w:ascii="PT Sans" w:hAnsi="PT Sans" w:cstheme="minorHAnsi"/>
        </w:rPr>
        <w:t xml:space="preserve">) </w:t>
      </w:r>
      <w:r w:rsidR="00BC703F" w:rsidRPr="003B3FDC">
        <w:rPr>
          <w:rFonts w:ascii="PT Sans" w:hAnsi="PT Sans" w:cstheme="minorHAnsi"/>
        </w:rPr>
        <w:t xml:space="preserve">konzultační služby a </w:t>
      </w:r>
      <w:r w:rsidR="005E32C9" w:rsidRPr="003B3FDC">
        <w:rPr>
          <w:rFonts w:ascii="PT Sans" w:hAnsi="PT Sans" w:cstheme="minorHAnsi"/>
        </w:rPr>
        <w:t>poradenskou činnost zaměřenou na ochranu zdraví při práci a ochranu před vznikem pracovních úrazů a nemocemi z</w:t>
      </w:r>
      <w:r w:rsidRPr="003B3FDC">
        <w:rPr>
          <w:rFonts w:ascii="PT Sans" w:hAnsi="PT Sans" w:cstheme="minorHAnsi"/>
        </w:rPr>
        <w:t> </w:t>
      </w:r>
      <w:r w:rsidR="005E32C9" w:rsidRPr="003B3FDC">
        <w:rPr>
          <w:rFonts w:ascii="PT Sans" w:hAnsi="PT Sans" w:cstheme="minorHAnsi"/>
        </w:rPr>
        <w:t>povolání</w:t>
      </w:r>
      <w:r w:rsidRPr="003B3FDC">
        <w:rPr>
          <w:rFonts w:ascii="PT Sans" w:hAnsi="PT Sans" w:cstheme="minorHAnsi"/>
        </w:rPr>
        <w:t>;</w:t>
      </w:r>
    </w:p>
    <w:p w14:paraId="310E9B17" w14:textId="6C010363" w:rsidR="005E32C9" w:rsidRPr="003B3FDC" w:rsidRDefault="000B13AA" w:rsidP="00671EDE">
      <w:pPr>
        <w:spacing w:before="60" w:after="0" w:line="240" w:lineRule="auto"/>
        <w:ind w:left="568" w:hanging="284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>e</w:t>
      </w:r>
      <w:r w:rsidR="005E32C9" w:rsidRPr="003B3FDC">
        <w:rPr>
          <w:rFonts w:ascii="PT Sans" w:hAnsi="PT Sans" w:cstheme="minorHAnsi"/>
        </w:rPr>
        <w:t>) dohled na pracovištích a nad výkonem práce</w:t>
      </w:r>
      <w:r w:rsidRPr="003B3FDC">
        <w:rPr>
          <w:rFonts w:ascii="PT Sans" w:hAnsi="PT Sans" w:cstheme="minorHAnsi"/>
        </w:rPr>
        <w:t xml:space="preserve"> v souladu s příslušnými ustanoveními právních předpisů</w:t>
      </w:r>
      <w:r w:rsidR="005E32C9" w:rsidRPr="003B3FDC">
        <w:rPr>
          <w:rFonts w:ascii="PT Sans" w:hAnsi="PT Sans" w:cstheme="minorHAnsi"/>
        </w:rPr>
        <w:t>.</w:t>
      </w:r>
    </w:p>
    <w:p w14:paraId="3D560168" w14:textId="54FF0F3A" w:rsidR="00BC703F" w:rsidRPr="00A57941" w:rsidRDefault="005E32C9" w:rsidP="004116D0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2) Pracovnělékařské prohlídky poskytovatel provede na základě </w:t>
      </w:r>
      <w:r w:rsidR="000B13AA" w:rsidRPr="003B3FDC">
        <w:rPr>
          <w:rFonts w:ascii="PT Sans" w:hAnsi="PT Sans" w:cstheme="minorHAnsi"/>
        </w:rPr>
        <w:t xml:space="preserve">předloženého formuláře </w:t>
      </w:r>
      <w:r w:rsidR="004116D0">
        <w:rPr>
          <w:rFonts w:ascii="PT Sans" w:hAnsi="PT Sans" w:cstheme="minorHAnsi"/>
        </w:rPr>
        <w:t xml:space="preserve">žádosti </w:t>
      </w:r>
      <w:r w:rsidR="004116D0" w:rsidRPr="00A57941">
        <w:rPr>
          <w:rFonts w:ascii="PT Sans" w:hAnsi="PT Sans" w:cstheme="minorHAnsi"/>
        </w:rPr>
        <w:t xml:space="preserve">objednatele o </w:t>
      </w:r>
      <w:r w:rsidRPr="00A57941">
        <w:rPr>
          <w:rFonts w:ascii="PT Sans" w:hAnsi="PT Sans" w:cstheme="minorHAnsi"/>
        </w:rPr>
        <w:t>provedení pracovnělékařské prohlídky a posouzení zdravotní způsobilosti k</w:t>
      </w:r>
      <w:r w:rsidR="004116D0" w:rsidRPr="00A57941">
        <w:rPr>
          <w:rFonts w:ascii="PT Sans" w:hAnsi="PT Sans" w:cstheme="minorHAnsi"/>
        </w:rPr>
        <w:t> </w:t>
      </w:r>
      <w:r w:rsidRPr="00A57941">
        <w:rPr>
          <w:rFonts w:ascii="PT Sans" w:hAnsi="PT Sans" w:cstheme="minorHAnsi"/>
        </w:rPr>
        <w:t>práci</w:t>
      </w:r>
      <w:r w:rsidR="004116D0" w:rsidRPr="00A57941">
        <w:rPr>
          <w:rFonts w:ascii="PT Sans" w:hAnsi="PT Sans" w:cstheme="minorHAnsi"/>
        </w:rPr>
        <w:t xml:space="preserve"> či formuláře žádosti objednatele </w:t>
      </w:r>
      <w:r w:rsidR="00BC703F" w:rsidRPr="00A57941">
        <w:rPr>
          <w:rFonts w:ascii="PT Sans" w:hAnsi="PT Sans" w:cstheme="minorHAnsi"/>
        </w:rPr>
        <w:t>o provedení prohlídky ke zjištění zdravotního stavu v průběhu vzdělávání</w:t>
      </w:r>
      <w:r w:rsidR="004116D0" w:rsidRPr="00A57941">
        <w:rPr>
          <w:rFonts w:ascii="PT Sans" w:hAnsi="PT Sans" w:cstheme="minorHAnsi"/>
        </w:rPr>
        <w:t xml:space="preserve">. </w:t>
      </w:r>
    </w:p>
    <w:p w14:paraId="4B23765F" w14:textId="57F7F511" w:rsidR="005E32C9" w:rsidRPr="00DC1623" w:rsidRDefault="004116D0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>
        <w:rPr>
          <w:rFonts w:ascii="PT Sans" w:hAnsi="PT Sans" w:cstheme="minorHAnsi"/>
        </w:rPr>
        <w:t>3</w:t>
      </w:r>
      <w:r w:rsidR="00BC703F" w:rsidRPr="003B3FDC">
        <w:rPr>
          <w:rFonts w:ascii="PT Sans" w:hAnsi="PT Sans" w:cstheme="minorHAnsi"/>
        </w:rPr>
        <w:t xml:space="preserve">) </w:t>
      </w:r>
      <w:r w:rsidR="005E32C9" w:rsidRPr="003B3FDC">
        <w:rPr>
          <w:rFonts w:ascii="PT Sans" w:hAnsi="PT Sans" w:cstheme="minorHAnsi"/>
        </w:rPr>
        <w:t xml:space="preserve">Činnosti uvedené pod písmeny b) až </w:t>
      </w:r>
      <w:r w:rsidR="000B13AA" w:rsidRPr="003B3FDC">
        <w:rPr>
          <w:rFonts w:ascii="PT Sans" w:hAnsi="PT Sans" w:cstheme="minorHAnsi"/>
        </w:rPr>
        <w:t>e</w:t>
      </w:r>
      <w:r w:rsidR="005E32C9" w:rsidRPr="003B3FDC">
        <w:rPr>
          <w:rFonts w:ascii="PT Sans" w:hAnsi="PT Sans" w:cstheme="minorHAnsi"/>
        </w:rPr>
        <w:t xml:space="preserve">) budou poskytovány operativně po </w:t>
      </w:r>
      <w:r w:rsidR="000B13AA" w:rsidRPr="003B3FDC">
        <w:rPr>
          <w:rFonts w:ascii="PT Sans" w:hAnsi="PT Sans" w:cstheme="minorHAnsi"/>
        </w:rPr>
        <w:t xml:space="preserve">předchozí </w:t>
      </w:r>
      <w:r w:rsidR="005E32C9" w:rsidRPr="003B3FDC">
        <w:rPr>
          <w:rFonts w:ascii="PT Sans" w:hAnsi="PT Sans" w:cstheme="minorHAnsi"/>
        </w:rPr>
        <w:t>dohodě mezi smluvními stranami.</w:t>
      </w:r>
    </w:p>
    <w:p w14:paraId="33444EAD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III.</w:t>
      </w:r>
    </w:p>
    <w:p w14:paraId="5E8B035C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Povinnosti poskytovatele</w:t>
      </w:r>
    </w:p>
    <w:p w14:paraId="160CC953" w14:textId="06E78DAA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1) Poskytovatel se zavazuje poskytovat pracovnělékařské služby všem </w:t>
      </w:r>
      <w:r w:rsidR="00BC703F">
        <w:rPr>
          <w:rFonts w:ascii="PT Sans" w:hAnsi="PT Sans" w:cstheme="minorHAnsi"/>
        </w:rPr>
        <w:t xml:space="preserve">uchazečům o zaměstnání u objednatele, </w:t>
      </w:r>
      <w:r w:rsidRPr="00DC1623">
        <w:rPr>
          <w:rFonts w:ascii="PT Sans" w:hAnsi="PT Sans" w:cstheme="minorHAnsi"/>
        </w:rPr>
        <w:t>zaměstnancům objednatele</w:t>
      </w:r>
      <w:r w:rsidR="002A3E68" w:rsidRPr="00DC1623">
        <w:rPr>
          <w:rFonts w:ascii="PT Sans" w:hAnsi="PT Sans" w:cstheme="minorHAnsi"/>
        </w:rPr>
        <w:t xml:space="preserve"> a studentům vykonávajícím u objednatele školní či studijní praxi</w:t>
      </w:r>
      <w:r w:rsidRPr="00DC1623">
        <w:rPr>
          <w:rFonts w:ascii="PT Sans" w:hAnsi="PT Sans" w:cstheme="minorHAnsi"/>
        </w:rPr>
        <w:t>.</w:t>
      </w:r>
    </w:p>
    <w:p w14:paraId="03943405" w14:textId="34701361" w:rsidR="005E32C9" w:rsidRPr="00A57941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2) Poskytovatel se zavazuje seznámit posuzovaného </w:t>
      </w:r>
      <w:r w:rsidR="00E07677">
        <w:rPr>
          <w:rFonts w:ascii="PT Sans" w:hAnsi="PT Sans" w:cstheme="minorHAnsi"/>
        </w:rPr>
        <w:t>uchazeče/</w:t>
      </w:r>
      <w:r w:rsidRPr="00DC1623">
        <w:rPr>
          <w:rFonts w:ascii="PT Sans" w:hAnsi="PT Sans" w:cstheme="minorHAnsi"/>
        </w:rPr>
        <w:t>zaměstnance</w:t>
      </w:r>
      <w:r w:rsidR="002A3E68" w:rsidRPr="00DC1623">
        <w:rPr>
          <w:rFonts w:ascii="PT Sans" w:hAnsi="PT Sans" w:cstheme="minorHAnsi"/>
        </w:rPr>
        <w:t xml:space="preserve">/studenta </w:t>
      </w:r>
      <w:r w:rsidRPr="00DC1623">
        <w:rPr>
          <w:rFonts w:ascii="PT Sans" w:hAnsi="PT Sans" w:cstheme="minorHAnsi"/>
        </w:rPr>
        <w:t xml:space="preserve">se závěry vyplývajícími ze zdravotní prohlídky a předat mu proti podpisu </w:t>
      </w:r>
      <w:r w:rsidR="002A3E68" w:rsidRPr="00DC1623">
        <w:rPr>
          <w:rFonts w:ascii="PT Sans" w:hAnsi="PT Sans" w:cstheme="minorHAnsi"/>
        </w:rPr>
        <w:t xml:space="preserve">příslušný </w:t>
      </w:r>
      <w:r w:rsidRPr="00DC1623">
        <w:rPr>
          <w:rFonts w:ascii="PT Sans" w:hAnsi="PT Sans" w:cstheme="minorHAnsi"/>
        </w:rPr>
        <w:t xml:space="preserve">lékařský posudek. </w:t>
      </w:r>
      <w:r w:rsidR="00E07677">
        <w:rPr>
          <w:rFonts w:ascii="PT Sans" w:hAnsi="PT Sans" w:cstheme="minorHAnsi"/>
        </w:rPr>
        <w:t>Uchazeč/z</w:t>
      </w:r>
      <w:r w:rsidRPr="00DC1623">
        <w:rPr>
          <w:rFonts w:ascii="PT Sans" w:hAnsi="PT Sans" w:cstheme="minorHAnsi"/>
        </w:rPr>
        <w:t>aměstnanec</w:t>
      </w:r>
      <w:r w:rsidR="002A3E68" w:rsidRPr="00DC1623">
        <w:rPr>
          <w:rFonts w:ascii="PT Sans" w:hAnsi="PT Sans" w:cstheme="minorHAnsi"/>
        </w:rPr>
        <w:t xml:space="preserve">/student </w:t>
      </w:r>
      <w:r w:rsidRPr="00DC1623">
        <w:rPr>
          <w:rFonts w:ascii="PT Sans" w:hAnsi="PT Sans" w:cstheme="minorHAnsi"/>
        </w:rPr>
        <w:t>svým podpisem</w:t>
      </w:r>
      <w:r w:rsidR="002A3E68" w:rsidRPr="00DC1623">
        <w:rPr>
          <w:rFonts w:ascii="PT Sans" w:hAnsi="PT Sans" w:cstheme="minorHAnsi"/>
        </w:rPr>
        <w:t xml:space="preserve"> potvrdí převzetí posudku</w:t>
      </w:r>
      <w:r w:rsidRPr="00DC1623">
        <w:rPr>
          <w:rFonts w:ascii="PT Sans" w:hAnsi="PT Sans" w:cstheme="minorHAnsi"/>
        </w:rPr>
        <w:t xml:space="preserve">, </w:t>
      </w:r>
      <w:r w:rsidR="002A3E68" w:rsidRPr="00DC1623">
        <w:rPr>
          <w:rFonts w:ascii="PT Sans" w:hAnsi="PT Sans" w:cstheme="minorHAnsi"/>
        </w:rPr>
        <w:t xml:space="preserve">a </w:t>
      </w:r>
      <w:r w:rsidRPr="00DC1623">
        <w:rPr>
          <w:rFonts w:ascii="PT Sans" w:hAnsi="PT Sans" w:cstheme="minorHAnsi"/>
        </w:rPr>
        <w:t xml:space="preserve">že byl s posudkem seznámen. Není-li dohodnuto jinak, zašle poskytovatel posudek objednateli prostřednictvím </w:t>
      </w:r>
      <w:r w:rsidR="00E07677">
        <w:rPr>
          <w:rFonts w:ascii="PT Sans" w:hAnsi="PT Sans" w:cstheme="minorHAnsi"/>
        </w:rPr>
        <w:t>uchazeče/</w:t>
      </w:r>
      <w:r w:rsidRPr="00DC1623">
        <w:rPr>
          <w:rFonts w:ascii="PT Sans" w:hAnsi="PT Sans" w:cstheme="minorHAnsi"/>
        </w:rPr>
        <w:t>zaměstnance</w:t>
      </w:r>
      <w:r w:rsidR="002A3E68" w:rsidRPr="00DC1623">
        <w:rPr>
          <w:rFonts w:ascii="PT Sans" w:hAnsi="PT Sans" w:cstheme="minorHAnsi"/>
        </w:rPr>
        <w:t>/studenta</w:t>
      </w:r>
      <w:r w:rsidRPr="00DC1623">
        <w:rPr>
          <w:rFonts w:ascii="PT Sans" w:hAnsi="PT Sans" w:cstheme="minorHAnsi"/>
        </w:rPr>
        <w:t xml:space="preserve"> pověřené</w:t>
      </w:r>
      <w:r w:rsidR="002A3E68" w:rsidRPr="00DC1623">
        <w:rPr>
          <w:rFonts w:ascii="PT Sans" w:hAnsi="PT Sans" w:cstheme="minorHAnsi"/>
        </w:rPr>
        <w:t>ho</w:t>
      </w:r>
      <w:r w:rsidRPr="00DC1623">
        <w:rPr>
          <w:rFonts w:ascii="PT Sans" w:hAnsi="PT Sans" w:cstheme="minorHAnsi"/>
        </w:rPr>
        <w:t xml:space="preserve"> </w:t>
      </w:r>
      <w:r w:rsidR="002A3E68" w:rsidRPr="00DC1623">
        <w:rPr>
          <w:rFonts w:ascii="PT Sans" w:hAnsi="PT Sans" w:cstheme="minorHAnsi"/>
        </w:rPr>
        <w:t xml:space="preserve">objednatelem </w:t>
      </w:r>
      <w:r w:rsidRPr="00DC1623">
        <w:rPr>
          <w:rFonts w:ascii="PT Sans" w:hAnsi="PT Sans" w:cstheme="minorHAnsi"/>
        </w:rPr>
        <w:t xml:space="preserve">k jeho </w:t>
      </w:r>
      <w:r w:rsidRPr="00A57941">
        <w:rPr>
          <w:rFonts w:ascii="PT Sans" w:hAnsi="PT Sans" w:cstheme="minorHAnsi"/>
        </w:rPr>
        <w:t xml:space="preserve">převzetí. Vzor lékařského posudku </w:t>
      </w:r>
      <w:r w:rsidR="004116D0" w:rsidRPr="00A57941">
        <w:rPr>
          <w:rFonts w:ascii="PT Sans" w:hAnsi="PT Sans" w:cstheme="minorHAnsi"/>
        </w:rPr>
        <w:t>bude mezi objednatelem a poskytovatelem dohodnut před zahájením plnění této smlouvy</w:t>
      </w:r>
      <w:r w:rsidRPr="00A57941">
        <w:rPr>
          <w:rFonts w:ascii="PT Sans" w:hAnsi="PT Sans" w:cstheme="minorHAnsi"/>
        </w:rPr>
        <w:t>.</w:t>
      </w:r>
    </w:p>
    <w:p w14:paraId="679C6680" w14:textId="36B3A482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3) V případě posudk</w:t>
      </w:r>
      <w:r w:rsidR="002A3E68" w:rsidRPr="00DC1623">
        <w:rPr>
          <w:rFonts w:ascii="PT Sans" w:hAnsi="PT Sans" w:cstheme="minorHAnsi"/>
        </w:rPr>
        <w:t>ového závěru, že je posuzovaná osoba zdravotně nezpůsobilá nebo že pozbyla dlouhodobě zdravotní způsobilost vykonávat dosavadní práci</w:t>
      </w:r>
      <w:r w:rsidRPr="00DC1623">
        <w:rPr>
          <w:rFonts w:ascii="PT Sans" w:hAnsi="PT Sans" w:cstheme="minorHAnsi"/>
        </w:rPr>
        <w:t>, bude poskytovatel neprodleně informovat objednatele.</w:t>
      </w:r>
      <w:r w:rsidR="002A3E68" w:rsidRPr="00DC1623">
        <w:rPr>
          <w:rFonts w:ascii="PT Sans" w:hAnsi="PT Sans" w:cstheme="minorHAnsi"/>
        </w:rPr>
        <w:t xml:space="preserve"> V případě posudkového závěru, že je posuzovaná osoba zdravotně způsobilá s podmínkou, se poskytovatel zavazuje tuto podmínku specifikovat natolik určitě, aby objednatel mohl </w:t>
      </w:r>
      <w:r w:rsidR="00DA5D07" w:rsidRPr="00DC1623">
        <w:rPr>
          <w:rFonts w:ascii="PT Sans" w:hAnsi="PT Sans" w:cstheme="minorHAnsi"/>
        </w:rPr>
        <w:t xml:space="preserve">dle </w:t>
      </w:r>
      <w:r w:rsidR="00E07677">
        <w:rPr>
          <w:rFonts w:ascii="PT Sans" w:hAnsi="PT Sans" w:cstheme="minorHAnsi"/>
        </w:rPr>
        <w:t>této</w:t>
      </w:r>
      <w:r w:rsidR="00E07677" w:rsidRPr="00DC1623">
        <w:rPr>
          <w:rFonts w:ascii="PT Sans" w:hAnsi="PT Sans" w:cstheme="minorHAnsi"/>
        </w:rPr>
        <w:t xml:space="preserve"> </w:t>
      </w:r>
      <w:r w:rsidR="00DA5D07" w:rsidRPr="00DC1623">
        <w:rPr>
          <w:rFonts w:ascii="PT Sans" w:hAnsi="PT Sans" w:cstheme="minorHAnsi"/>
        </w:rPr>
        <w:t>podmínky zodpovědně upravit pracovní podmínky posuzovaného zaměstnance, je-li to objektivně u objednatele možné.</w:t>
      </w:r>
    </w:p>
    <w:p w14:paraId="76152FA9" w14:textId="330771C7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4)</w:t>
      </w:r>
      <w:r w:rsidR="002A3E68" w:rsidRPr="00DC1623">
        <w:rPr>
          <w:rFonts w:ascii="PT Sans" w:hAnsi="PT Sans" w:cstheme="minorHAnsi"/>
        </w:rPr>
        <w:t xml:space="preserve"> </w:t>
      </w:r>
      <w:r w:rsidRPr="00DC1623">
        <w:rPr>
          <w:rFonts w:ascii="PT Sans" w:hAnsi="PT Sans" w:cstheme="minorHAnsi"/>
        </w:rPr>
        <w:t xml:space="preserve">Výstupy z činnosti poskytovatele budou objednateli podávány písemně, není-li dohodnuto jinak. V případě nebezpečí z prodlení bude </w:t>
      </w:r>
      <w:r w:rsidR="00E07677">
        <w:rPr>
          <w:rFonts w:ascii="PT Sans" w:hAnsi="PT Sans" w:cstheme="minorHAnsi"/>
        </w:rPr>
        <w:t>poskytovatel</w:t>
      </w:r>
      <w:r w:rsidR="00E07677" w:rsidRPr="00DC1623">
        <w:rPr>
          <w:rFonts w:ascii="PT Sans" w:hAnsi="PT Sans" w:cstheme="minorHAnsi"/>
        </w:rPr>
        <w:t xml:space="preserve"> </w:t>
      </w:r>
      <w:r w:rsidRPr="00DC1623">
        <w:rPr>
          <w:rFonts w:ascii="PT Sans" w:hAnsi="PT Sans" w:cstheme="minorHAnsi"/>
        </w:rPr>
        <w:t xml:space="preserve">informovat kontaktní osobu </w:t>
      </w:r>
      <w:r w:rsidR="00E07677">
        <w:rPr>
          <w:rFonts w:ascii="PT Sans" w:hAnsi="PT Sans" w:cstheme="minorHAnsi"/>
        </w:rPr>
        <w:t xml:space="preserve">objednatele </w:t>
      </w:r>
      <w:r w:rsidRPr="00DC1623">
        <w:rPr>
          <w:rFonts w:ascii="PT Sans" w:hAnsi="PT Sans" w:cstheme="minorHAnsi"/>
        </w:rPr>
        <w:t>telefonicky.</w:t>
      </w:r>
    </w:p>
    <w:p w14:paraId="25D26D91" w14:textId="2C456BB3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lastRenderedPageBreak/>
        <w:t>5) Poskytovatel se zavazuje vést dokumentaci o pracovnělékařských službách prováděných pro objednatele</w:t>
      </w:r>
      <w:r w:rsidR="003E52CE">
        <w:rPr>
          <w:rFonts w:ascii="PT Sans" w:hAnsi="PT Sans" w:cstheme="minorHAnsi"/>
        </w:rPr>
        <w:t xml:space="preserve"> v souladu s právními předpisy</w:t>
      </w:r>
      <w:r w:rsidRPr="00DC1623">
        <w:rPr>
          <w:rFonts w:ascii="PT Sans" w:hAnsi="PT Sans" w:cstheme="minorHAnsi"/>
        </w:rPr>
        <w:t>.</w:t>
      </w:r>
    </w:p>
    <w:p w14:paraId="14C2213B" w14:textId="255BA4D3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 xml:space="preserve">6) Poskytovatel se zavazuje vést odděleně zdravotnickou dokumentaci vedenou o </w:t>
      </w:r>
      <w:r w:rsidR="003E52CE">
        <w:rPr>
          <w:rFonts w:ascii="PT Sans" w:hAnsi="PT Sans" w:cstheme="minorHAnsi"/>
        </w:rPr>
        <w:t xml:space="preserve">svých </w:t>
      </w:r>
      <w:r w:rsidRPr="00DC1623">
        <w:rPr>
          <w:rFonts w:ascii="PT Sans" w:hAnsi="PT Sans" w:cstheme="minorHAnsi"/>
        </w:rPr>
        <w:t>pacient</w:t>
      </w:r>
      <w:r w:rsidR="003E52CE">
        <w:rPr>
          <w:rFonts w:ascii="PT Sans" w:hAnsi="PT Sans" w:cstheme="minorHAnsi"/>
        </w:rPr>
        <w:t>ech</w:t>
      </w:r>
      <w:r w:rsidRPr="00DC1623">
        <w:rPr>
          <w:rFonts w:ascii="PT Sans" w:hAnsi="PT Sans" w:cstheme="minorHAnsi"/>
        </w:rPr>
        <w:t xml:space="preserve"> od zdravotnické dokumentace vedené o </w:t>
      </w:r>
      <w:r w:rsidR="003E52CE">
        <w:rPr>
          <w:rFonts w:ascii="PT Sans" w:hAnsi="PT Sans" w:cstheme="minorHAnsi"/>
        </w:rPr>
        <w:t>uchazečích/zaměstnancích/studentech</w:t>
      </w:r>
      <w:r w:rsidRPr="00DC1623">
        <w:rPr>
          <w:rFonts w:ascii="PT Sans" w:hAnsi="PT Sans" w:cstheme="minorHAnsi"/>
        </w:rPr>
        <w:t xml:space="preserve"> objednatele při poskytování pracovnělékařských služeb, </w:t>
      </w:r>
      <w:r w:rsidR="003E52CE">
        <w:rPr>
          <w:rFonts w:ascii="PT Sans" w:hAnsi="PT Sans" w:cstheme="minorHAnsi"/>
        </w:rPr>
        <w:t xml:space="preserve">a to i tehdy, </w:t>
      </w:r>
      <w:r w:rsidRPr="00DC1623">
        <w:rPr>
          <w:rFonts w:ascii="PT Sans" w:hAnsi="PT Sans" w:cstheme="minorHAnsi"/>
        </w:rPr>
        <w:t xml:space="preserve">jestliže je </w:t>
      </w:r>
      <w:r w:rsidR="003E52CE">
        <w:rPr>
          <w:rFonts w:ascii="PT Sans" w:hAnsi="PT Sans" w:cstheme="minorHAnsi"/>
        </w:rPr>
        <w:t xml:space="preserve">současně </w:t>
      </w:r>
      <w:r w:rsidRPr="00DC1623">
        <w:rPr>
          <w:rFonts w:ascii="PT Sans" w:hAnsi="PT Sans" w:cstheme="minorHAnsi"/>
        </w:rPr>
        <w:t xml:space="preserve">registrujícím lékařem </w:t>
      </w:r>
      <w:r w:rsidR="003E52CE">
        <w:rPr>
          <w:rFonts w:ascii="PT Sans" w:hAnsi="PT Sans" w:cstheme="minorHAnsi"/>
        </w:rPr>
        <w:t>těchto osob</w:t>
      </w:r>
      <w:r w:rsidRPr="00DC1623">
        <w:rPr>
          <w:rFonts w:ascii="PT Sans" w:hAnsi="PT Sans" w:cstheme="minorHAnsi"/>
        </w:rPr>
        <w:t>.</w:t>
      </w:r>
    </w:p>
    <w:p w14:paraId="768187D5" w14:textId="77777777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</w:p>
    <w:p w14:paraId="6244E772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IV.</w:t>
      </w:r>
    </w:p>
    <w:p w14:paraId="086FDE01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Specifikace podmínek poskytování pracovnělékařských služeb</w:t>
      </w:r>
    </w:p>
    <w:p w14:paraId="468CDD9D" w14:textId="47CEF5B7" w:rsidR="003E52CE" w:rsidRPr="003B3FDC" w:rsidRDefault="003E52CE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>
        <w:rPr>
          <w:rFonts w:ascii="PT Sans" w:hAnsi="PT Sans" w:cstheme="minorHAnsi"/>
        </w:rPr>
        <w:t>1</w:t>
      </w:r>
      <w:r w:rsidR="005E32C9" w:rsidRPr="00DC1623">
        <w:rPr>
          <w:rFonts w:ascii="PT Sans" w:hAnsi="PT Sans" w:cstheme="minorHAnsi"/>
        </w:rPr>
        <w:t xml:space="preserve">) </w:t>
      </w:r>
      <w:r w:rsidRPr="00DC1623">
        <w:rPr>
          <w:rFonts w:ascii="PT Sans" w:hAnsi="PT Sans" w:cstheme="minorHAnsi"/>
        </w:rPr>
        <w:t xml:space="preserve">Smluvní strany se zavazuji poskytovat si vzájemnou a včasnou součinnost při plnění této smlouvy. Objednatel se zavazuje předávat průběžně a dle potřeby i na vyžádání veškeré informace potřebné k zajištění činnosti dle čl. I této smlouvy. Poskytovatel se zavazuje po dobu poskytování </w:t>
      </w:r>
      <w:r w:rsidRPr="003B3FDC">
        <w:rPr>
          <w:rFonts w:ascii="PT Sans" w:hAnsi="PT Sans" w:cstheme="minorHAnsi"/>
        </w:rPr>
        <w:t>pracovnělékařských služeb a v případě ukončení poskytování těchto služeb zachovávat mlčenlivost o skutečnostech, o nichž se dozvěděl v souvislosti s poskytováním těchto služeb.</w:t>
      </w:r>
    </w:p>
    <w:p w14:paraId="41AD06F0" w14:textId="1BD771A6" w:rsidR="00E310EE" w:rsidRPr="003B3FDC" w:rsidRDefault="003E52CE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2) </w:t>
      </w:r>
      <w:r w:rsidR="005E32C9" w:rsidRPr="003B3FDC">
        <w:rPr>
          <w:rFonts w:ascii="PT Sans" w:hAnsi="PT Sans" w:cstheme="minorHAnsi"/>
        </w:rPr>
        <w:t>Pracovnělékařské služby bude poskytovatel poskytovat v</w:t>
      </w:r>
      <w:r w:rsidR="00A52F80" w:rsidRPr="003B3FDC">
        <w:rPr>
          <w:rFonts w:ascii="PT Sans" w:hAnsi="PT Sans" w:cstheme="minorHAnsi"/>
        </w:rPr>
        <w:t xml:space="preserve"> sídle objednatele ve vymezené a vybavené </w:t>
      </w:r>
      <w:r w:rsidR="00A52F80" w:rsidRPr="00A57941">
        <w:rPr>
          <w:rFonts w:ascii="PT Sans" w:hAnsi="PT Sans" w:cstheme="minorHAnsi"/>
        </w:rPr>
        <w:t xml:space="preserve">ordinaci </w:t>
      </w:r>
      <w:r w:rsidR="006547AC" w:rsidRPr="00A57941">
        <w:rPr>
          <w:rFonts w:ascii="PT Sans" w:hAnsi="PT Sans" w:cstheme="minorHAnsi"/>
        </w:rPr>
        <w:t xml:space="preserve">(dle vyhlášky č. 92/2012 Sb.) </w:t>
      </w:r>
      <w:r w:rsidR="00A52F80" w:rsidRPr="00A57941">
        <w:rPr>
          <w:rFonts w:ascii="PT Sans" w:hAnsi="PT Sans" w:cstheme="minorHAnsi"/>
        </w:rPr>
        <w:t>každý čtvrtek (je-li pracovním dnem) v době od 7:00 do 1</w:t>
      </w:r>
      <w:r w:rsidR="00D152DA" w:rsidRPr="00A57941">
        <w:rPr>
          <w:rFonts w:ascii="PT Sans" w:hAnsi="PT Sans" w:cstheme="minorHAnsi"/>
        </w:rPr>
        <w:t>1</w:t>
      </w:r>
      <w:r w:rsidR="00A52F80" w:rsidRPr="00A57941">
        <w:rPr>
          <w:rFonts w:ascii="PT Sans" w:hAnsi="PT Sans" w:cstheme="minorHAnsi"/>
        </w:rPr>
        <w:t>:30h</w:t>
      </w:r>
      <w:r w:rsidR="001D5057" w:rsidRPr="00A57941">
        <w:rPr>
          <w:rFonts w:ascii="PT Sans" w:hAnsi="PT Sans" w:cstheme="minorHAnsi"/>
        </w:rPr>
        <w:t xml:space="preserve"> a ve </w:t>
      </w:r>
      <w:r w:rsidR="001D5057" w:rsidRPr="003B3FDC">
        <w:rPr>
          <w:rFonts w:ascii="PT Sans" w:hAnsi="PT Sans" w:cstheme="minorHAnsi"/>
        </w:rPr>
        <w:t>své ambulanci na území města Znojma po celý týden (krom</w:t>
      </w:r>
      <w:r w:rsidR="001D5057">
        <w:rPr>
          <w:rFonts w:ascii="PT Sans" w:hAnsi="PT Sans" w:cstheme="minorHAnsi"/>
        </w:rPr>
        <w:t xml:space="preserve">ě čtvrtečního dopoledne, </w:t>
      </w:r>
      <w:r w:rsidR="001D5057" w:rsidRPr="003B3FDC">
        <w:rPr>
          <w:rFonts w:ascii="PT Sans" w:hAnsi="PT Sans" w:cstheme="minorHAnsi"/>
        </w:rPr>
        <w:t>sobot, nedělí a svátků) v rámci své běžné ordinační doby</w:t>
      </w:r>
      <w:r w:rsidR="004116D0">
        <w:rPr>
          <w:rFonts w:ascii="PT Sans" w:hAnsi="PT Sans" w:cstheme="minorHAnsi"/>
        </w:rPr>
        <w:t>, kdy objednání prohlídky předem není potřeba</w:t>
      </w:r>
      <w:r w:rsidR="001D5057" w:rsidRPr="003B3FDC">
        <w:rPr>
          <w:rFonts w:ascii="PT Sans" w:hAnsi="PT Sans" w:cstheme="minorHAnsi"/>
        </w:rPr>
        <w:t xml:space="preserve">. Změnu ordinační doby ve své ambulanci je poskytovatel povinen oznámit minimálně 5 pracovních dnů předem kontaktní osobě objednatele. </w:t>
      </w:r>
      <w:r w:rsidR="00E310EE" w:rsidRPr="003B3FDC">
        <w:rPr>
          <w:rFonts w:ascii="PT Sans" w:hAnsi="PT Sans" w:cstheme="minorHAnsi"/>
        </w:rPr>
        <w:t xml:space="preserve">Vybavení ordinace nezahrnuje SW vybavení nutné pro vedení zdravotnické dokumentace poskytovatele pracovnělékařských služeb, toto si zajišťuje na svůj náklad </w:t>
      </w:r>
      <w:r w:rsidR="00A646DF" w:rsidRPr="003B3FDC">
        <w:rPr>
          <w:rFonts w:ascii="PT Sans" w:hAnsi="PT Sans" w:cstheme="minorHAnsi"/>
        </w:rPr>
        <w:t xml:space="preserve">sám </w:t>
      </w:r>
      <w:r w:rsidR="00E310EE" w:rsidRPr="003B3FDC">
        <w:rPr>
          <w:rFonts w:ascii="PT Sans" w:hAnsi="PT Sans" w:cstheme="minorHAnsi"/>
        </w:rPr>
        <w:t>poskytovatel.</w:t>
      </w:r>
      <w:r w:rsidR="006547AC" w:rsidRPr="003B3FDC">
        <w:rPr>
          <w:rFonts w:ascii="PT Sans" w:hAnsi="PT Sans" w:cstheme="minorHAnsi"/>
        </w:rPr>
        <w:t xml:space="preserve"> </w:t>
      </w:r>
      <w:r w:rsidR="00E310EE" w:rsidRPr="003B3FDC">
        <w:rPr>
          <w:rFonts w:ascii="PT Sans" w:hAnsi="PT Sans" w:cstheme="minorHAnsi"/>
        </w:rPr>
        <w:t xml:space="preserve"> </w:t>
      </w:r>
    </w:p>
    <w:p w14:paraId="78F22BBA" w14:textId="02CA307E" w:rsidR="003E52CE" w:rsidRPr="003B3FDC" w:rsidRDefault="003E52CE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>3</w:t>
      </w:r>
      <w:r w:rsidR="00E310EE" w:rsidRPr="003B3FDC">
        <w:rPr>
          <w:rFonts w:ascii="PT Sans" w:hAnsi="PT Sans" w:cstheme="minorHAnsi"/>
        </w:rPr>
        <w:t xml:space="preserve">) </w:t>
      </w:r>
      <w:r w:rsidRPr="003B3FDC">
        <w:rPr>
          <w:rFonts w:ascii="PT Sans" w:hAnsi="PT Sans" w:cstheme="minorHAnsi"/>
        </w:rPr>
        <w:t xml:space="preserve">Objednatel poskytuje pro tyto účely ambulanci </w:t>
      </w:r>
      <w:r w:rsidR="001D5057">
        <w:rPr>
          <w:rFonts w:ascii="PT Sans" w:hAnsi="PT Sans" w:cstheme="minorHAnsi"/>
        </w:rPr>
        <w:t xml:space="preserve">ve svém sídle </w:t>
      </w:r>
      <w:r w:rsidRPr="003B3FDC">
        <w:rPr>
          <w:rFonts w:ascii="PT Sans" w:hAnsi="PT Sans" w:cstheme="minorHAnsi"/>
        </w:rPr>
        <w:t xml:space="preserve">poskytovateli bezplatně. Poskytovatel se zavazuje poskytovat v této ambulanci výhradně a pouze zdravotní služby pro objednatele dle této smlouvy. Poskytovatel bere na vědomí, že se jedná o ambulanci </w:t>
      </w:r>
      <w:r w:rsidR="00924AA5">
        <w:rPr>
          <w:rFonts w:ascii="PT Sans" w:hAnsi="PT Sans" w:cstheme="minorHAnsi"/>
        </w:rPr>
        <w:t>užívanou i pro jiné obory péče poskytované ze strany objednatele,</w:t>
      </w:r>
      <w:r w:rsidRPr="003B3FDC">
        <w:rPr>
          <w:rFonts w:ascii="PT Sans" w:hAnsi="PT Sans" w:cstheme="minorHAnsi"/>
        </w:rPr>
        <w:t xml:space="preserve"> a proto vždy zanechá ambulanci ve stavu, v jaké ji daný den převzal. </w:t>
      </w:r>
    </w:p>
    <w:p w14:paraId="4E57D094" w14:textId="1D2212A1" w:rsidR="005E32C9" w:rsidRPr="00DC1623" w:rsidRDefault="003E52CE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4) </w:t>
      </w:r>
      <w:r w:rsidR="001D5057">
        <w:rPr>
          <w:rFonts w:ascii="PT Sans" w:hAnsi="PT Sans" w:cstheme="minorHAnsi"/>
        </w:rPr>
        <w:t xml:space="preserve"> Nedostupnost pracovnělékařských služeb se považuje za</w:t>
      </w:r>
      <w:r w:rsidR="004116D0">
        <w:rPr>
          <w:rFonts w:ascii="PT Sans" w:hAnsi="PT Sans" w:cstheme="minorHAnsi"/>
        </w:rPr>
        <w:t xml:space="preserve"> </w:t>
      </w:r>
      <w:r w:rsidR="001D5057">
        <w:rPr>
          <w:rFonts w:ascii="PT Sans" w:hAnsi="PT Sans" w:cstheme="minorHAnsi"/>
        </w:rPr>
        <w:t xml:space="preserve">závažné porušení závazku ze strany poskytovatele. </w:t>
      </w:r>
      <w:r w:rsidR="00924AA5">
        <w:rPr>
          <w:rFonts w:ascii="PT Sans" w:hAnsi="PT Sans" w:cstheme="minorHAnsi"/>
        </w:rPr>
        <w:t>Poskytovatel je v</w:t>
      </w:r>
      <w:r w:rsidR="005E32C9" w:rsidRPr="003B3FDC">
        <w:rPr>
          <w:rFonts w:ascii="PT Sans" w:hAnsi="PT Sans" w:cstheme="minorHAnsi"/>
        </w:rPr>
        <w:t xml:space="preserve"> případě své nepřítomnosti </w:t>
      </w:r>
      <w:r w:rsidR="00924AA5">
        <w:rPr>
          <w:rFonts w:ascii="PT Sans" w:hAnsi="PT Sans" w:cstheme="minorHAnsi"/>
        </w:rPr>
        <w:t xml:space="preserve">povinen </w:t>
      </w:r>
      <w:r w:rsidR="005E32C9" w:rsidRPr="003B3FDC">
        <w:rPr>
          <w:rFonts w:ascii="PT Sans" w:hAnsi="PT Sans" w:cstheme="minorHAnsi"/>
        </w:rPr>
        <w:t>zabezpeč</w:t>
      </w:r>
      <w:r w:rsidR="00924AA5">
        <w:rPr>
          <w:rFonts w:ascii="PT Sans" w:hAnsi="PT Sans" w:cstheme="minorHAnsi"/>
        </w:rPr>
        <w:t>it</w:t>
      </w:r>
      <w:r w:rsidR="005E32C9" w:rsidRPr="003B3FDC">
        <w:rPr>
          <w:rFonts w:ascii="PT Sans" w:hAnsi="PT Sans" w:cstheme="minorHAnsi"/>
        </w:rPr>
        <w:t xml:space="preserve"> na své náklady </w:t>
      </w:r>
      <w:r w:rsidR="00A646DF" w:rsidRPr="003B3FDC">
        <w:rPr>
          <w:rFonts w:ascii="PT Sans" w:hAnsi="PT Sans" w:cstheme="minorHAnsi"/>
        </w:rPr>
        <w:t>pověřeného poskytovatele ve smyslu §57a ZSZS</w:t>
      </w:r>
      <w:r w:rsidR="00924AA5">
        <w:rPr>
          <w:rFonts w:ascii="PT Sans" w:hAnsi="PT Sans" w:cstheme="minorHAnsi"/>
        </w:rPr>
        <w:t xml:space="preserve"> po celou dobu uvedenu v odst. 2) výše</w:t>
      </w:r>
      <w:r w:rsidR="00A646DF" w:rsidRPr="003B3FDC">
        <w:rPr>
          <w:rFonts w:ascii="PT Sans" w:hAnsi="PT Sans" w:cstheme="minorHAnsi"/>
        </w:rPr>
        <w:t xml:space="preserve">. </w:t>
      </w:r>
      <w:r w:rsidR="00110FF0" w:rsidRPr="003B3FDC">
        <w:rPr>
          <w:rFonts w:ascii="PT Sans" w:hAnsi="PT Sans" w:cstheme="minorHAnsi"/>
        </w:rPr>
        <w:t>O této situaci informuje poskytovatel objednatele vždy bezodkladně, jakmile se o ní dozví.</w:t>
      </w:r>
      <w:r w:rsidR="00110FF0" w:rsidRPr="00DC1623">
        <w:rPr>
          <w:rFonts w:ascii="PT Sans" w:hAnsi="PT Sans" w:cstheme="minorHAnsi"/>
        </w:rPr>
        <w:t xml:space="preserve"> </w:t>
      </w:r>
    </w:p>
    <w:p w14:paraId="30204A39" w14:textId="5E52AFB0" w:rsidR="008D42C6" w:rsidRPr="00DC1623" w:rsidRDefault="001D5057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>
        <w:rPr>
          <w:rFonts w:ascii="PT Sans" w:hAnsi="PT Sans" w:cstheme="minorHAnsi"/>
        </w:rPr>
        <w:t>5</w:t>
      </w:r>
      <w:r w:rsidR="005E32C9" w:rsidRPr="00DC1623">
        <w:rPr>
          <w:rFonts w:ascii="PT Sans" w:hAnsi="PT Sans" w:cstheme="minorHAnsi"/>
        </w:rPr>
        <w:t>) K prohlídkám vysílá uchazeče o zaměstnání u objednatele nebo zaměstnance určený zaměstnanec personálního odboru</w:t>
      </w:r>
      <w:r w:rsidR="008D42C6" w:rsidRPr="00DC1623">
        <w:rPr>
          <w:rFonts w:ascii="PT Sans" w:hAnsi="PT Sans" w:cstheme="minorHAnsi"/>
        </w:rPr>
        <w:t xml:space="preserve"> zaměstnavatele</w:t>
      </w:r>
      <w:r w:rsidR="005E32C9" w:rsidRPr="00DC1623">
        <w:rPr>
          <w:rFonts w:ascii="PT Sans" w:hAnsi="PT Sans" w:cstheme="minorHAnsi"/>
        </w:rPr>
        <w:t>, který jej vybaví žádostí o provedení příslušné prohlídky</w:t>
      </w:r>
      <w:r w:rsidR="008D42C6" w:rsidRPr="00DC1623">
        <w:rPr>
          <w:rFonts w:ascii="PT Sans" w:hAnsi="PT Sans" w:cstheme="minorHAnsi"/>
        </w:rPr>
        <w:t xml:space="preserve">, v případě studentů jsou tito vysláni náměstkem objednatele pro ošetřovatelskou péči. </w:t>
      </w:r>
      <w:r w:rsidR="005E32C9" w:rsidRPr="00DC1623">
        <w:rPr>
          <w:rFonts w:ascii="PT Sans" w:hAnsi="PT Sans" w:cstheme="minorHAnsi"/>
        </w:rPr>
        <w:t>K prohlídce si uchazeč</w:t>
      </w:r>
      <w:r w:rsidR="008D42C6" w:rsidRPr="00DC1623">
        <w:rPr>
          <w:rFonts w:ascii="PT Sans" w:hAnsi="PT Sans" w:cstheme="minorHAnsi"/>
        </w:rPr>
        <w:t>/</w:t>
      </w:r>
      <w:r w:rsidR="005E32C9" w:rsidRPr="00DC1623">
        <w:rPr>
          <w:rFonts w:ascii="PT Sans" w:hAnsi="PT Sans" w:cstheme="minorHAnsi"/>
        </w:rPr>
        <w:t>zaměstnanec</w:t>
      </w:r>
      <w:r w:rsidR="008D42C6" w:rsidRPr="00DC1623">
        <w:rPr>
          <w:rFonts w:ascii="PT Sans" w:hAnsi="PT Sans" w:cstheme="minorHAnsi"/>
        </w:rPr>
        <w:t xml:space="preserve">/student </w:t>
      </w:r>
      <w:r w:rsidR="005E32C9" w:rsidRPr="00DC1623">
        <w:rPr>
          <w:rFonts w:ascii="PT Sans" w:hAnsi="PT Sans" w:cstheme="minorHAnsi"/>
        </w:rPr>
        <w:t>přinese výpis ze své zdravotní dokumentace od svého registrujícího lékaře</w:t>
      </w:r>
      <w:r w:rsidR="008D42C6" w:rsidRPr="00DC1623">
        <w:rPr>
          <w:rFonts w:ascii="PT Sans" w:hAnsi="PT Sans" w:cstheme="minorHAnsi"/>
        </w:rPr>
        <w:t xml:space="preserve"> (to neplatí, je-li registrujícím lékařem sám poskytovatel).</w:t>
      </w:r>
    </w:p>
    <w:p w14:paraId="19E99030" w14:textId="76801A24" w:rsidR="005E32C9" w:rsidRPr="00DC1623" w:rsidRDefault="001D5057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>
        <w:rPr>
          <w:rFonts w:ascii="PT Sans" w:hAnsi="PT Sans" w:cstheme="minorHAnsi"/>
        </w:rPr>
        <w:t>6</w:t>
      </w:r>
      <w:r w:rsidR="008D42C6" w:rsidRPr="00DC1623">
        <w:rPr>
          <w:rFonts w:ascii="PT Sans" w:hAnsi="PT Sans" w:cstheme="minorHAnsi"/>
        </w:rPr>
        <w:t>)  Smluvní strany se ve smyslu ustanovení §7 odst. 3 vyhlášky č. 79/2013 Sb. dohodly, že v odůvodněných případech lze provést odborná vyšetření před provedením základního vyšetření u poskytovatele, vede-li tento postup ke zrychlení poskytování pracovnělékařských služeb. Rozhodne-li se poskytovatel takto postupovat u konkrétního uchazeče/zaměstnance/studenta</w:t>
      </w:r>
      <w:r w:rsidR="009611B4" w:rsidRPr="00DC1623">
        <w:rPr>
          <w:rFonts w:ascii="PT Sans" w:hAnsi="PT Sans" w:cstheme="minorHAnsi"/>
        </w:rPr>
        <w:t xml:space="preserve">, informuje kontaktní osobu objednatele. </w:t>
      </w:r>
    </w:p>
    <w:p w14:paraId="304D53C9" w14:textId="77777777" w:rsidR="005E32C9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47C4FC0C" w14:textId="77777777" w:rsidR="00671EDE" w:rsidRDefault="00671EDE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685D3AE7" w14:textId="77777777" w:rsidR="00A57941" w:rsidRDefault="00A57941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1688F5F0" w14:textId="77777777" w:rsidR="00A57941" w:rsidRDefault="00A57941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510E8CAF" w14:textId="77777777" w:rsidR="00A57941" w:rsidRDefault="00A57941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662B526F" w14:textId="77777777" w:rsidR="00671EDE" w:rsidRPr="00DC1623" w:rsidRDefault="00671EDE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21941166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V.</w:t>
      </w:r>
    </w:p>
    <w:p w14:paraId="121BB953" w14:textId="3D040EDF" w:rsidR="00A646DF" w:rsidRPr="00DC1623" w:rsidRDefault="00A646DF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Povinnosti objednatele</w:t>
      </w:r>
    </w:p>
    <w:p w14:paraId="578A3FAF" w14:textId="77777777" w:rsidR="00A646DF" w:rsidRPr="00A57941" w:rsidRDefault="00A646DF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1) Objednatel se zavazuje vyslat uchazeče/zaměstnance/studenta na prohlídku k poskytovateli s příslušnou žádostí o provedení prohlídky, informovat jej o nutnosti výpisu ze zdravotnické dokumentace od jeho registrujícího praktického lékaře a o povinnosti podrobit se této prohlídce u </w:t>
      </w:r>
      <w:r w:rsidRPr="00A57941">
        <w:rPr>
          <w:rFonts w:ascii="PT Sans" w:hAnsi="PT Sans" w:cstheme="minorHAnsi"/>
          <w:bCs/>
        </w:rPr>
        <w:t xml:space="preserve">poskytovatele. </w:t>
      </w:r>
    </w:p>
    <w:p w14:paraId="6572E2EA" w14:textId="008814AB" w:rsidR="00A646DF" w:rsidRPr="00A57941" w:rsidRDefault="00A646DF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A57941">
        <w:rPr>
          <w:rFonts w:ascii="PT Sans" w:hAnsi="PT Sans" w:cstheme="minorHAnsi"/>
          <w:bCs/>
        </w:rPr>
        <w:t xml:space="preserve">2) Objednatel bude včas (min. 1 pracovní den předem) informovat poskytovatele o počtu uchazečů/zaměstnanců/studentů na konkrétní den </w:t>
      </w:r>
      <w:r w:rsidR="00CE6126" w:rsidRPr="00A57941">
        <w:rPr>
          <w:rFonts w:ascii="PT Sans" w:hAnsi="PT Sans" w:cstheme="minorHAnsi"/>
          <w:bCs/>
        </w:rPr>
        <w:t>v ambulanci v sídle objednatele</w:t>
      </w:r>
      <w:r w:rsidRPr="00A57941">
        <w:rPr>
          <w:rFonts w:ascii="PT Sans" w:hAnsi="PT Sans" w:cstheme="minorHAnsi"/>
          <w:bCs/>
        </w:rPr>
        <w:t xml:space="preserve">. </w:t>
      </w:r>
      <w:r w:rsidR="00110FF0" w:rsidRPr="00A57941">
        <w:rPr>
          <w:rFonts w:ascii="PT Sans" w:hAnsi="PT Sans" w:cstheme="minorHAnsi"/>
          <w:bCs/>
        </w:rPr>
        <w:t>V případě překročení kapacity je poskytovatel povinen obratem informovat kontaktní osobu objednatele a dohodnout s ní změnu termínů.</w:t>
      </w:r>
      <w:r w:rsidR="004116D0" w:rsidRPr="00A57941">
        <w:rPr>
          <w:rFonts w:ascii="PT Sans" w:hAnsi="PT Sans" w:cstheme="minorHAnsi"/>
          <w:bCs/>
        </w:rPr>
        <w:t xml:space="preserve"> </w:t>
      </w:r>
    </w:p>
    <w:p w14:paraId="6A4181A2" w14:textId="60A14F8F" w:rsidR="00110FF0" w:rsidRPr="00DC1623" w:rsidRDefault="00110FF0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A57941">
        <w:rPr>
          <w:rFonts w:ascii="PT Sans" w:hAnsi="PT Sans" w:cstheme="minorHAnsi"/>
          <w:bCs/>
        </w:rPr>
        <w:t xml:space="preserve">3) Objednatel se zavazuje předat </w:t>
      </w:r>
      <w:r w:rsidRPr="00DC1623">
        <w:rPr>
          <w:rFonts w:ascii="PT Sans" w:hAnsi="PT Sans" w:cstheme="minorHAnsi"/>
          <w:bCs/>
        </w:rPr>
        <w:t>poskytovateli při uzavření této smlouvy aktuální rozhodnutí Krajské hygienické stanice Jihomoravského kraje se sídlem v Brně o zařazení práce do kategorie a vždy při změně tohoto rozhodnutí dodat jeho aktuální verzi.</w:t>
      </w:r>
    </w:p>
    <w:p w14:paraId="2F195C9C" w14:textId="77777777" w:rsidR="00110FF0" w:rsidRPr="00DC1623" w:rsidRDefault="00110FF0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</w:p>
    <w:p w14:paraId="2C034C12" w14:textId="54ACE766" w:rsidR="00110FF0" w:rsidRPr="00DC1623" w:rsidRDefault="00110FF0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VI.</w:t>
      </w:r>
    </w:p>
    <w:p w14:paraId="1F3DFF28" w14:textId="1EEA9FED" w:rsidR="00110FF0" w:rsidRPr="00DC1623" w:rsidRDefault="00110FF0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Kontaktní osoby</w:t>
      </w:r>
    </w:p>
    <w:p w14:paraId="63582B2D" w14:textId="458B3544" w:rsidR="00110FF0" w:rsidRPr="00DC1623" w:rsidRDefault="00110FF0" w:rsidP="00DC1623">
      <w:pPr>
        <w:pStyle w:val="Listenabsatz"/>
        <w:numPr>
          <w:ilvl w:val="0"/>
          <w:numId w:val="28"/>
        </w:numPr>
        <w:spacing w:before="60" w:after="0" w:line="240" w:lineRule="auto"/>
        <w:ind w:left="0" w:hanging="284"/>
        <w:contextualSpacing w:val="0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Smluvní strany pro účely plnění této smlouvy pověřily tyto kontaktní osoby: </w:t>
      </w:r>
    </w:p>
    <w:p w14:paraId="473F1E21" w14:textId="5F2C8122" w:rsidR="00110FF0" w:rsidRPr="00DC1623" w:rsidRDefault="00110FF0" w:rsidP="003E52CE">
      <w:pPr>
        <w:pStyle w:val="Listenabsatz"/>
        <w:numPr>
          <w:ilvl w:val="0"/>
          <w:numId w:val="29"/>
        </w:numPr>
        <w:spacing w:before="60" w:after="0" w:line="240" w:lineRule="auto"/>
        <w:ind w:left="284" w:firstLine="0"/>
        <w:contextualSpacing w:val="0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Za poskytovatele: </w:t>
      </w:r>
      <w:r w:rsidRPr="00776BEB">
        <w:rPr>
          <w:rFonts w:ascii="PT Sans" w:hAnsi="PT Sans" w:cstheme="minorHAnsi"/>
          <w:bCs/>
          <w:highlight w:val="yellow"/>
        </w:rPr>
        <w:t>…………………………………</w:t>
      </w:r>
      <w:proofErr w:type="gramStart"/>
      <w:r w:rsidRPr="00776BEB">
        <w:rPr>
          <w:rFonts w:ascii="PT Sans" w:hAnsi="PT Sans" w:cstheme="minorHAnsi"/>
          <w:bCs/>
          <w:highlight w:val="yellow"/>
        </w:rPr>
        <w:t>…….</w:t>
      </w:r>
      <w:proofErr w:type="gramEnd"/>
      <w:r w:rsidRPr="00776BEB">
        <w:rPr>
          <w:rFonts w:ascii="PT Sans" w:hAnsi="PT Sans" w:cstheme="minorHAnsi"/>
          <w:bCs/>
          <w:highlight w:val="yellow"/>
        </w:rPr>
        <w:t>.,</w:t>
      </w:r>
      <w:r w:rsidRPr="00DC1623">
        <w:rPr>
          <w:rFonts w:ascii="PT Sans" w:hAnsi="PT Sans" w:cstheme="minorHAnsi"/>
          <w:bCs/>
        </w:rPr>
        <w:t xml:space="preserve"> tel.: </w:t>
      </w:r>
      <w:r w:rsidRPr="00776BEB">
        <w:rPr>
          <w:rFonts w:ascii="PT Sans" w:hAnsi="PT Sans" w:cstheme="minorHAnsi"/>
          <w:bCs/>
          <w:highlight w:val="yellow"/>
        </w:rPr>
        <w:t>…………………….</w:t>
      </w:r>
      <w:r w:rsidRPr="00DC1623">
        <w:rPr>
          <w:rFonts w:ascii="PT Sans" w:hAnsi="PT Sans" w:cstheme="minorHAnsi"/>
          <w:bCs/>
        </w:rPr>
        <w:t xml:space="preserve"> , e-mail: </w:t>
      </w:r>
      <w:r w:rsidRPr="00776BEB">
        <w:rPr>
          <w:rFonts w:ascii="PT Sans" w:hAnsi="PT Sans" w:cstheme="minorHAnsi"/>
          <w:bCs/>
          <w:highlight w:val="yellow"/>
        </w:rPr>
        <w:t>……………………</w:t>
      </w:r>
    </w:p>
    <w:p w14:paraId="72A72EF2" w14:textId="5855D4DF" w:rsidR="00110FF0" w:rsidRPr="00776BEB" w:rsidRDefault="00110FF0" w:rsidP="003E52CE">
      <w:pPr>
        <w:pStyle w:val="Listenabsatz"/>
        <w:numPr>
          <w:ilvl w:val="0"/>
          <w:numId w:val="29"/>
        </w:numPr>
        <w:spacing w:before="60" w:after="0" w:line="240" w:lineRule="auto"/>
        <w:ind w:left="284" w:firstLine="0"/>
        <w:contextualSpacing w:val="0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Za Objednatele: PhDr. Jana Vacková, Ph.D., </w:t>
      </w:r>
      <w:r w:rsidR="003E52CE">
        <w:rPr>
          <w:rFonts w:ascii="PT Sans" w:hAnsi="PT Sans" w:cstheme="minorHAnsi"/>
          <w:bCs/>
        </w:rPr>
        <w:t xml:space="preserve">náměstek pro ošetřovatelskou péči, </w:t>
      </w:r>
      <w:r w:rsidRPr="00DC1623">
        <w:rPr>
          <w:rFonts w:ascii="PT Sans" w:hAnsi="PT Sans" w:cstheme="minorHAnsi"/>
          <w:bCs/>
        </w:rPr>
        <w:t xml:space="preserve">tel.: </w:t>
      </w:r>
      <w:r w:rsidR="003303C4" w:rsidRPr="00DC1623">
        <w:rPr>
          <w:rFonts w:ascii="PT Sans" w:hAnsi="PT Sans" w:cstheme="minorHAnsi"/>
          <w:bCs/>
        </w:rPr>
        <w:t xml:space="preserve">515 215 251, mobil: 724 186 771, e-mail: </w:t>
      </w:r>
      <w:hyperlink r:id="rId7" w:history="1">
        <w:r w:rsidR="003303C4" w:rsidRPr="00DC1623">
          <w:rPr>
            <w:rStyle w:val="Hyperlink"/>
            <w:rFonts w:ascii="PT Sans" w:hAnsi="PT Sans" w:cstheme="minorHAnsi"/>
            <w:bCs/>
          </w:rPr>
          <w:t>jana.vackova@nemzn.cz</w:t>
        </w:r>
      </w:hyperlink>
      <w:r w:rsidR="003303C4" w:rsidRPr="00DC1623">
        <w:rPr>
          <w:rFonts w:ascii="PT Sans" w:hAnsi="PT Sans" w:cstheme="minorHAnsi"/>
          <w:bCs/>
        </w:rPr>
        <w:t xml:space="preserve">; Ing. Mgr. Ivana Zálešáková, </w:t>
      </w:r>
      <w:r w:rsidR="003E52CE">
        <w:rPr>
          <w:rFonts w:ascii="PT Sans" w:hAnsi="PT Sans" w:cstheme="minorHAnsi"/>
          <w:bCs/>
        </w:rPr>
        <w:t xml:space="preserve">personální náměstek, </w:t>
      </w:r>
      <w:r w:rsidR="003303C4" w:rsidRPr="00DC1623">
        <w:rPr>
          <w:rFonts w:ascii="PT Sans" w:hAnsi="PT Sans" w:cstheme="minorHAnsi"/>
          <w:bCs/>
        </w:rPr>
        <w:t xml:space="preserve">tel.: 515 215 239, mobil: </w:t>
      </w:r>
      <w:r w:rsidR="00433681">
        <w:rPr>
          <w:rFonts w:ascii="PT Sans" w:hAnsi="PT Sans" w:cstheme="minorHAnsi"/>
          <w:bCs/>
        </w:rPr>
        <w:t>605 327 712</w:t>
      </w:r>
      <w:r w:rsidR="003E52CE">
        <w:rPr>
          <w:rFonts w:ascii="PT Sans" w:hAnsi="PT Sans" w:cstheme="minorHAnsi"/>
          <w:bCs/>
        </w:rPr>
        <w:t>; Mgr. Kryštof Brauner, OZO BOZP</w:t>
      </w:r>
      <w:r w:rsidR="003E52CE" w:rsidRPr="00776BEB">
        <w:rPr>
          <w:rFonts w:ascii="PT Sans" w:hAnsi="PT Sans" w:cstheme="minorHAnsi"/>
          <w:bCs/>
        </w:rPr>
        <w:t>, tel: 515 215 261, 737 798 232</w:t>
      </w:r>
    </w:p>
    <w:p w14:paraId="7820F53B" w14:textId="41543E54" w:rsidR="00110FF0" w:rsidRPr="00DC1623" w:rsidRDefault="003303C4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776BEB">
        <w:rPr>
          <w:rFonts w:ascii="PT Sans" w:hAnsi="PT Sans" w:cstheme="minorHAnsi"/>
          <w:bCs/>
        </w:rPr>
        <w:t>2) Změna kontaktní osoby je účinná</w:t>
      </w:r>
      <w:r w:rsidR="00433681" w:rsidRPr="00776BEB">
        <w:rPr>
          <w:rFonts w:ascii="PT Sans" w:hAnsi="PT Sans" w:cstheme="minorHAnsi"/>
          <w:bCs/>
        </w:rPr>
        <w:t xml:space="preserve"> doručením </w:t>
      </w:r>
      <w:r w:rsidRPr="00776BEB">
        <w:rPr>
          <w:rFonts w:ascii="PT Sans" w:hAnsi="PT Sans" w:cstheme="minorHAnsi"/>
          <w:bCs/>
        </w:rPr>
        <w:t>oznámení druhé smluvní straně</w:t>
      </w:r>
      <w:r w:rsidRPr="00DC1623">
        <w:rPr>
          <w:rFonts w:ascii="PT Sans" w:hAnsi="PT Sans" w:cstheme="minorHAnsi"/>
          <w:bCs/>
        </w:rPr>
        <w:t xml:space="preserve"> bez nutnosti sjednání dodatku této smlouvy.  </w:t>
      </w:r>
    </w:p>
    <w:p w14:paraId="409DE0D1" w14:textId="726CA2C7" w:rsidR="00A646DF" w:rsidRPr="003B3FDC" w:rsidRDefault="003303C4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3B3FDC">
        <w:rPr>
          <w:rFonts w:ascii="PT Sans" w:hAnsi="PT Sans" w:cstheme="minorHAnsi"/>
          <w:b/>
        </w:rPr>
        <w:t xml:space="preserve">VII. </w:t>
      </w:r>
    </w:p>
    <w:p w14:paraId="486C458E" w14:textId="0A858DCE" w:rsidR="005E32C9" w:rsidRPr="003B3FDC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3B3FDC">
        <w:rPr>
          <w:rFonts w:ascii="PT Sans" w:hAnsi="PT Sans" w:cstheme="minorHAnsi"/>
          <w:b/>
        </w:rPr>
        <w:t>Ujednání o výši úhrady a platebních podmínkách</w:t>
      </w:r>
    </w:p>
    <w:p w14:paraId="7CB527B5" w14:textId="593F2BFF" w:rsidR="005E32C9" w:rsidRPr="003B3FDC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1) Smluvní strany této smlouvy se dohodly na </w:t>
      </w:r>
      <w:r w:rsidR="00433681" w:rsidRPr="003B3FDC">
        <w:rPr>
          <w:rFonts w:ascii="PT Sans" w:hAnsi="PT Sans" w:cstheme="minorHAnsi"/>
        </w:rPr>
        <w:t xml:space="preserve">paušální </w:t>
      </w:r>
      <w:r w:rsidRPr="003B3FDC">
        <w:rPr>
          <w:rFonts w:ascii="PT Sans" w:hAnsi="PT Sans" w:cstheme="minorHAnsi"/>
        </w:rPr>
        <w:t>ceně vstupní, periodické, mimořádné                a výstupní</w:t>
      </w:r>
      <w:r w:rsidR="003303C4" w:rsidRPr="003B3FDC">
        <w:rPr>
          <w:rFonts w:ascii="PT Sans" w:hAnsi="PT Sans" w:cstheme="minorHAnsi"/>
        </w:rPr>
        <w:t xml:space="preserve"> prohlídky</w:t>
      </w:r>
      <w:r w:rsidRPr="003B3FDC">
        <w:rPr>
          <w:rFonts w:ascii="PT Sans" w:hAnsi="PT Sans" w:cstheme="minorHAnsi"/>
        </w:rPr>
        <w:t xml:space="preserve"> </w:t>
      </w:r>
      <w:r w:rsidR="00433681" w:rsidRPr="003B3FDC">
        <w:rPr>
          <w:rFonts w:ascii="PT Sans" w:hAnsi="PT Sans" w:cstheme="minorHAnsi"/>
        </w:rPr>
        <w:t xml:space="preserve">a prohlídky ke zjištění zdravotního stavu v průběhu vzdělávání </w:t>
      </w:r>
      <w:r w:rsidRPr="003B3FDC">
        <w:rPr>
          <w:rFonts w:ascii="PT Sans" w:hAnsi="PT Sans" w:cstheme="minorHAnsi"/>
        </w:rPr>
        <w:t xml:space="preserve">ve výši </w:t>
      </w:r>
      <w:r w:rsidR="009611B4" w:rsidRPr="003B3FDC">
        <w:rPr>
          <w:rFonts w:ascii="PT Sans" w:hAnsi="PT Sans" w:cstheme="minorHAnsi"/>
          <w:highlight w:val="yellow"/>
        </w:rPr>
        <w:t>………</w:t>
      </w:r>
      <w:proofErr w:type="gramStart"/>
      <w:r w:rsidR="009611B4" w:rsidRPr="003B3FDC">
        <w:rPr>
          <w:rFonts w:ascii="PT Sans" w:hAnsi="PT Sans" w:cstheme="minorHAnsi"/>
          <w:highlight w:val="yellow"/>
        </w:rPr>
        <w:t>…</w:t>
      </w:r>
      <w:r w:rsidR="009611B4" w:rsidRPr="003B3FDC">
        <w:rPr>
          <w:rFonts w:ascii="PT Sans" w:hAnsi="PT Sans" w:cstheme="minorHAnsi"/>
        </w:rPr>
        <w:t xml:space="preserve"> </w:t>
      </w:r>
      <w:r w:rsidRPr="003B3FDC">
        <w:rPr>
          <w:rFonts w:ascii="PT Sans" w:hAnsi="PT Sans" w:cstheme="minorHAnsi"/>
        </w:rPr>
        <w:t>,</w:t>
      </w:r>
      <w:proofErr w:type="gramEnd"/>
      <w:r w:rsidRPr="003B3FDC">
        <w:rPr>
          <w:rFonts w:ascii="PT Sans" w:hAnsi="PT Sans" w:cstheme="minorHAnsi"/>
        </w:rPr>
        <w:t>- Kč</w:t>
      </w:r>
      <w:r w:rsidR="009611B4" w:rsidRPr="003B3FDC">
        <w:rPr>
          <w:rFonts w:ascii="PT Sans" w:hAnsi="PT Sans" w:cstheme="minorHAnsi"/>
        </w:rPr>
        <w:t xml:space="preserve"> </w:t>
      </w:r>
      <w:r w:rsidR="00924AA5">
        <w:rPr>
          <w:rFonts w:ascii="PT Sans" w:hAnsi="PT Sans" w:cstheme="minorHAnsi"/>
        </w:rPr>
        <w:t>bez</w:t>
      </w:r>
      <w:r w:rsidR="009611B4" w:rsidRPr="003B3FDC">
        <w:rPr>
          <w:rFonts w:ascii="PT Sans" w:hAnsi="PT Sans" w:cstheme="minorHAnsi"/>
        </w:rPr>
        <w:t xml:space="preserve"> DPH</w:t>
      </w:r>
      <w:r w:rsidRPr="003B3FDC">
        <w:rPr>
          <w:rFonts w:ascii="PT Sans" w:hAnsi="PT Sans" w:cstheme="minorHAnsi"/>
        </w:rPr>
        <w:t xml:space="preserve"> (slovy </w:t>
      </w:r>
      <w:r w:rsidR="009611B4" w:rsidRPr="003B3FDC">
        <w:rPr>
          <w:rFonts w:ascii="PT Sans" w:hAnsi="PT Sans" w:cstheme="minorHAnsi"/>
          <w:highlight w:val="yellow"/>
        </w:rPr>
        <w:t>…………….</w:t>
      </w:r>
      <w:r w:rsidR="009611B4" w:rsidRPr="003B3FDC">
        <w:rPr>
          <w:rFonts w:ascii="PT Sans" w:hAnsi="PT Sans" w:cstheme="minorHAnsi"/>
        </w:rPr>
        <w:t xml:space="preserve"> </w:t>
      </w:r>
      <w:r w:rsidRPr="003B3FDC">
        <w:rPr>
          <w:rFonts w:ascii="PT Sans" w:hAnsi="PT Sans" w:cstheme="minorHAnsi"/>
        </w:rPr>
        <w:t xml:space="preserve">korun českých) za </w:t>
      </w:r>
      <w:r w:rsidR="009611B4" w:rsidRPr="003B3FDC">
        <w:rPr>
          <w:rFonts w:ascii="PT Sans" w:hAnsi="PT Sans" w:cstheme="minorHAnsi"/>
        </w:rPr>
        <w:t>jednoho uchazeče/zaměstnance/studenta</w:t>
      </w:r>
      <w:r w:rsidRPr="003B3FDC">
        <w:rPr>
          <w:rFonts w:ascii="PT Sans" w:hAnsi="PT Sans" w:cstheme="minorHAnsi"/>
        </w:rPr>
        <w:t xml:space="preserve">. </w:t>
      </w:r>
    </w:p>
    <w:p w14:paraId="4CC143C3" w14:textId="7F4A067C" w:rsidR="005E32C9" w:rsidRPr="003B3FDC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2) Ostatní činnosti poskytovatele pracovnělékařských služeb dle čl. II. odst. 1 písm. b) až </w:t>
      </w:r>
      <w:r w:rsidR="009611B4" w:rsidRPr="003B3FDC">
        <w:rPr>
          <w:rFonts w:ascii="PT Sans" w:hAnsi="PT Sans" w:cstheme="minorHAnsi"/>
        </w:rPr>
        <w:t>e</w:t>
      </w:r>
      <w:r w:rsidRPr="003B3FDC">
        <w:rPr>
          <w:rFonts w:ascii="PT Sans" w:hAnsi="PT Sans" w:cstheme="minorHAnsi"/>
        </w:rPr>
        <w:t xml:space="preserve">) budou hrazeny na základě skutečně </w:t>
      </w:r>
      <w:r w:rsidR="00433681" w:rsidRPr="003B3FDC">
        <w:rPr>
          <w:rFonts w:ascii="PT Sans" w:hAnsi="PT Sans" w:cstheme="minorHAnsi"/>
        </w:rPr>
        <w:t xml:space="preserve">poskytnutých služeb </w:t>
      </w:r>
      <w:r w:rsidRPr="003B3FDC">
        <w:rPr>
          <w:rFonts w:ascii="PT Sans" w:hAnsi="PT Sans" w:cstheme="minorHAnsi"/>
        </w:rPr>
        <w:t xml:space="preserve">dle hodinové sazby </w:t>
      </w:r>
      <w:r w:rsidR="00433681" w:rsidRPr="003B3FDC">
        <w:rPr>
          <w:rFonts w:ascii="PT Sans" w:hAnsi="PT Sans" w:cstheme="minorHAnsi"/>
        </w:rPr>
        <w:t xml:space="preserve">ve výši </w:t>
      </w:r>
      <w:r w:rsidR="009611B4" w:rsidRPr="003B3FDC">
        <w:rPr>
          <w:rFonts w:ascii="PT Sans" w:hAnsi="PT Sans" w:cstheme="minorHAnsi"/>
          <w:highlight w:val="yellow"/>
        </w:rPr>
        <w:t>………….</w:t>
      </w:r>
      <w:r w:rsidR="009611B4" w:rsidRPr="003B3FDC">
        <w:rPr>
          <w:rFonts w:ascii="PT Sans" w:hAnsi="PT Sans" w:cstheme="minorHAnsi"/>
        </w:rPr>
        <w:t xml:space="preserve"> </w:t>
      </w:r>
      <w:r w:rsidRPr="003B3FDC">
        <w:rPr>
          <w:rFonts w:ascii="PT Sans" w:hAnsi="PT Sans" w:cstheme="minorHAnsi"/>
        </w:rPr>
        <w:t>Kč</w:t>
      </w:r>
      <w:r w:rsidR="00924AA5">
        <w:rPr>
          <w:rFonts w:ascii="PT Sans" w:hAnsi="PT Sans" w:cstheme="minorHAnsi"/>
        </w:rPr>
        <w:t xml:space="preserve"> bez</w:t>
      </w:r>
      <w:r w:rsidR="00433681" w:rsidRPr="003B3FDC">
        <w:rPr>
          <w:rFonts w:ascii="PT Sans" w:hAnsi="PT Sans" w:cstheme="minorHAnsi"/>
        </w:rPr>
        <w:t xml:space="preserve"> DPH </w:t>
      </w:r>
      <w:r w:rsidRPr="003B3FDC">
        <w:rPr>
          <w:rFonts w:ascii="PT Sans" w:hAnsi="PT Sans" w:cstheme="minorHAnsi"/>
        </w:rPr>
        <w:t xml:space="preserve">(slovy </w:t>
      </w:r>
      <w:r w:rsidR="009611B4" w:rsidRPr="003B3FDC">
        <w:rPr>
          <w:rFonts w:ascii="PT Sans" w:hAnsi="PT Sans" w:cstheme="minorHAnsi"/>
          <w:highlight w:val="yellow"/>
        </w:rPr>
        <w:t>………….</w:t>
      </w:r>
      <w:r w:rsidR="009611B4" w:rsidRPr="003B3FDC">
        <w:rPr>
          <w:rFonts w:ascii="PT Sans" w:hAnsi="PT Sans" w:cstheme="minorHAnsi"/>
        </w:rPr>
        <w:t xml:space="preserve"> </w:t>
      </w:r>
      <w:r w:rsidRPr="003B3FDC">
        <w:rPr>
          <w:rFonts w:ascii="PT Sans" w:hAnsi="PT Sans" w:cstheme="minorHAnsi"/>
        </w:rPr>
        <w:t xml:space="preserve">korun českých). </w:t>
      </w:r>
    </w:p>
    <w:p w14:paraId="0B3854FF" w14:textId="23E2A2EB" w:rsidR="0033547D" w:rsidRPr="003B3FDC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3) </w:t>
      </w:r>
      <w:r w:rsidR="0033547D" w:rsidRPr="003B3FDC">
        <w:rPr>
          <w:rFonts w:ascii="PT Sans" w:hAnsi="PT Sans" w:cstheme="minorHAnsi"/>
        </w:rPr>
        <w:t xml:space="preserve">Poskytovatel bere na vědomí, že předpokládané počty pracovnělékařských prohlídek uvedené v rámci výběrového řízení byly toliko orientační a sloužící pro účely vyhodnocení nabídek. Objednatel uhradí poskytovateli odměnu za skutečně provedené prohlídky.  </w:t>
      </w:r>
    </w:p>
    <w:p w14:paraId="2D51772B" w14:textId="17255924" w:rsidR="005E32C9" w:rsidRPr="00C566FA" w:rsidRDefault="0033547D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 xml:space="preserve">4) </w:t>
      </w:r>
      <w:r w:rsidR="003303C4" w:rsidRPr="003B3FDC">
        <w:rPr>
          <w:rFonts w:ascii="PT Sans" w:hAnsi="PT Sans" w:cstheme="minorHAnsi"/>
        </w:rPr>
        <w:t xml:space="preserve">Objednatel se zavazuje poskytnuté pracovnělékařské služby uhradit poskytovateli na základě doručeného daňového dokladu (faktury), který musí obsahovat veškeré náležitosti stanovené právním předpisem. Fakturu je poskytovatel oprávněn vystavit </w:t>
      </w:r>
      <w:r w:rsidR="005E32C9" w:rsidRPr="003B3FDC">
        <w:rPr>
          <w:rFonts w:ascii="PT Sans" w:hAnsi="PT Sans" w:cstheme="minorHAnsi"/>
        </w:rPr>
        <w:t>měsíčně</w:t>
      </w:r>
      <w:r w:rsidR="009611B4" w:rsidRPr="003B3FDC">
        <w:rPr>
          <w:rFonts w:ascii="PT Sans" w:hAnsi="PT Sans" w:cstheme="minorHAnsi"/>
        </w:rPr>
        <w:t xml:space="preserve"> </w:t>
      </w:r>
      <w:r w:rsidR="003303C4" w:rsidRPr="003B3FDC">
        <w:rPr>
          <w:rFonts w:ascii="PT Sans" w:hAnsi="PT Sans" w:cstheme="minorHAnsi"/>
        </w:rPr>
        <w:t xml:space="preserve">zpětně za uplynulý kalendářní </w:t>
      </w:r>
      <w:r w:rsidR="003303C4" w:rsidRPr="00C566FA">
        <w:rPr>
          <w:rFonts w:ascii="PT Sans" w:hAnsi="PT Sans" w:cstheme="minorHAnsi"/>
        </w:rPr>
        <w:t xml:space="preserve">měsíc. </w:t>
      </w:r>
      <w:r w:rsidR="005E32C9" w:rsidRPr="00C566FA">
        <w:rPr>
          <w:rFonts w:ascii="PT Sans" w:hAnsi="PT Sans" w:cstheme="minorHAnsi"/>
        </w:rPr>
        <w:t>Přílohou faktury bude seznam účtovaných služeb</w:t>
      </w:r>
      <w:r w:rsidR="009611B4" w:rsidRPr="00C566FA">
        <w:rPr>
          <w:rFonts w:ascii="PT Sans" w:hAnsi="PT Sans" w:cstheme="minorHAnsi"/>
        </w:rPr>
        <w:t xml:space="preserve"> a současně uvedení jmenného seznamu uchazečů/zaměstnanců/studentů s doplněním informace o typu prohlídky (vstupní, periodická, mimořádná, výstupní</w:t>
      </w:r>
      <w:r w:rsidR="00A646DF" w:rsidRPr="00C566FA">
        <w:rPr>
          <w:rFonts w:ascii="PT Sans" w:hAnsi="PT Sans" w:cstheme="minorHAnsi"/>
        </w:rPr>
        <w:t xml:space="preserve">, </w:t>
      </w:r>
      <w:r w:rsidR="003303C4" w:rsidRPr="00C566FA">
        <w:rPr>
          <w:rFonts w:ascii="PT Sans" w:hAnsi="PT Sans" w:cstheme="minorHAnsi"/>
        </w:rPr>
        <w:t>pro účely vzdělávání</w:t>
      </w:r>
      <w:r w:rsidR="009611B4" w:rsidRPr="00C566FA">
        <w:rPr>
          <w:rFonts w:ascii="PT Sans" w:hAnsi="PT Sans" w:cstheme="minorHAnsi"/>
        </w:rPr>
        <w:t>)</w:t>
      </w:r>
      <w:r w:rsidR="003303C4" w:rsidRPr="00C566FA">
        <w:rPr>
          <w:rFonts w:ascii="PT Sans" w:hAnsi="PT Sans" w:cstheme="minorHAnsi"/>
        </w:rPr>
        <w:t xml:space="preserve">. </w:t>
      </w:r>
      <w:r w:rsidR="005E32C9" w:rsidRPr="00C566FA">
        <w:rPr>
          <w:rFonts w:ascii="PT Sans" w:hAnsi="PT Sans" w:cstheme="minorHAnsi"/>
        </w:rPr>
        <w:t xml:space="preserve"> </w:t>
      </w:r>
    </w:p>
    <w:p w14:paraId="2955729B" w14:textId="4521BFB5" w:rsidR="005E32C9" w:rsidRPr="00C566FA" w:rsidRDefault="0033547D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C566FA">
        <w:rPr>
          <w:rFonts w:ascii="PT Sans" w:hAnsi="PT Sans" w:cstheme="minorHAnsi"/>
        </w:rPr>
        <w:t>5</w:t>
      </w:r>
      <w:r w:rsidR="005E32C9" w:rsidRPr="00C566FA">
        <w:rPr>
          <w:rFonts w:ascii="PT Sans" w:hAnsi="PT Sans" w:cstheme="minorHAnsi"/>
        </w:rPr>
        <w:t xml:space="preserve">) Splatnost faktury </w:t>
      </w:r>
      <w:r w:rsidR="003303C4" w:rsidRPr="00C566FA">
        <w:rPr>
          <w:rFonts w:ascii="PT Sans" w:hAnsi="PT Sans" w:cstheme="minorHAnsi"/>
        </w:rPr>
        <w:t xml:space="preserve">30 </w:t>
      </w:r>
      <w:r w:rsidR="005E32C9" w:rsidRPr="00C566FA">
        <w:rPr>
          <w:rFonts w:ascii="PT Sans" w:hAnsi="PT Sans" w:cstheme="minorHAnsi"/>
        </w:rPr>
        <w:t>dní od data doručení objednateli.</w:t>
      </w:r>
    </w:p>
    <w:p w14:paraId="6766A07F" w14:textId="793E557A" w:rsidR="005E32C9" w:rsidRPr="00DC1623" w:rsidRDefault="0033547D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>6</w:t>
      </w:r>
      <w:r w:rsidR="005E32C9" w:rsidRPr="003B3FDC">
        <w:rPr>
          <w:rFonts w:ascii="PT Sans" w:hAnsi="PT Sans" w:cstheme="minorHAnsi"/>
        </w:rPr>
        <w:t>) Faktury za pracovnělékařské služby budou zasílány na adresu</w:t>
      </w:r>
      <w:r w:rsidR="003303C4" w:rsidRPr="003B3FDC">
        <w:rPr>
          <w:rFonts w:ascii="PT Sans" w:hAnsi="PT Sans" w:cstheme="minorHAnsi"/>
        </w:rPr>
        <w:t xml:space="preserve"> sídla objednatele,</w:t>
      </w:r>
      <w:r w:rsidR="00433681" w:rsidRPr="003B3FDC">
        <w:rPr>
          <w:rFonts w:ascii="PT Sans" w:hAnsi="PT Sans" w:cstheme="minorHAnsi"/>
        </w:rPr>
        <w:t xml:space="preserve"> Ekonomický odbor, </w:t>
      </w:r>
      <w:r w:rsidR="003303C4" w:rsidRPr="003B3FDC">
        <w:rPr>
          <w:rFonts w:ascii="PT Sans" w:hAnsi="PT Sans" w:cstheme="minorHAnsi"/>
        </w:rPr>
        <w:t xml:space="preserve">v případě elektronické fakturace na adresu: </w:t>
      </w:r>
      <w:hyperlink r:id="rId8" w:history="1">
        <w:r w:rsidR="003303C4" w:rsidRPr="003B3FDC">
          <w:rPr>
            <w:rStyle w:val="Hyperlink"/>
            <w:rFonts w:ascii="PT Sans" w:hAnsi="PT Sans" w:cstheme="minorHAnsi"/>
          </w:rPr>
          <w:t>dfaktury@nemzn.cz</w:t>
        </w:r>
      </w:hyperlink>
      <w:r w:rsidR="003303C4" w:rsidRPr="00DC1623">
        <w:rPr>
          <w:rFonts w:ascii="PT Sans" w:hAnsi="PT Sans" w:cstheme="minorHAnsi"/>
        </w:rPr>
        <w:t xml:space="preserve"> </w:t>
      </w:r>
    </w:p>
    <w:p w14:paraId="6728062B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</w:p>
    <w:p w14:paraId="05819E41" w14:textId="39A6252A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VI</w:t>
      </w:r>
      <w:r w:rsidR="003303C4" w:rsidRPr="00DC1623">
        <w:rPr>
          <w:rFonts w:ascii="PT Sans" w:hAnsi="PT Sans" w:cstheme="minorHAnsi"/>
          <w:b/>
        </w:rPr>
        <w:t>II</w:t>
      </w:r>
      <w:r w:rsidRPr="00DC1623">
        <w:rPr>
          <w:rFonts w:ascii="PT Sans" w:hAnsi="PT Sans" w:cstheme="minorHAnsi"/>
          <w:b/>
        </w:rPr>
        <w:t>.</w:t>
      </w:r>
    </w:p>
    <w:p w14:paraId="58A0D60A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</w:rPr>
      </w:pPr>
      <w:r w:rsidRPr="00DC1623">
        <w:rPr>
          <w:rFonts w:ascii="PT Sans" w:hAnsi="PT Sans" w:cstheme="minorHAnsi"/>
          <w:b/>
        </w:rPr>
        <w:t>Doba trvání smlouvy</w:t>
      </w:r>
    </w:p>
    <w:p w14:paraId="2D4020D7" w14:textId="4C93D4BF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 w:rsidRPr="003B3FDC">
        <w:rPr>
          <w:rFonts w:ascii="PT Sans" w:hAnsi="PT Sans" w:cstheme="minorHAnsi"/>
        </w:rPr>
        <w:t>1) Smlouva se uzavírá na dobu</w:t>
      </w:r>
      <w:r w:rsidR="003303C4" w:rsidRPr="003B3FDC">
        <w:rPr>
          <w:rFonts w:ascii="PT Sans" w:hAnsi="PT Sans" w:cstheme="minorHAnsi"/>
        </w:rPr>
        <w:t xml:space="preserve"> </w:t>
      </w:r>
      <w:r w:rsidR="003B3FDC">
        <w:rPr>
          <w:rFonts w:ascii="PT Sans" w:hAnsi="PT Sans" w:cstheme="minorHAnsi"/>
        </w:rPr>
        <w:t>určitou 2 let ode dne její účinnosti</w:t>
      </w:r>
      <w:r w:rsidR="003303C4" w:rsidRPr="003B3FDC">
        <w:rPr>
          <w:rFonts w:ascii="PT Sans" w:hAnsi="PT Sans" w:cstheme="minorHAnsi"/>
        </w:rPr>
        <w:t xml:space="preserve">. </w:t>
      </w:r>
      <w:r w:rsidR="003B3FDC">
        <w:rPr>
          <w:rFonts w:ascii="PT Sans" w:hAnsi="PT Sans" w:cstheme="minorHAnsi"/>
        </w:rPr>
        <w:t xml:space="preserve">Účinnost smlouvy nastane 1.11.2023 nebo dnem zveřejnění smlouvy v registru smluv, nastane-li tento den po 1.11.2023. </w:t>
      </w:r>
      <w:r w:rsidR="003303C4" w:rsidRPr="003B3FDC">
        <w:rPr>
          <w:rFonts w:ascii="PT Sans" w:hAnsi="PT Sans" w:cstheme="minorHAnsi"/>
        </w:rPr>
        <w:t>Smlouvu</w:t>
      </w:r>
      <w:r w:rsidR="003303C4" w:rsidRPr="00DC1623">
        <w:rPr>
          <w:rFonts w:ascii="PT Sans" w:hAnsi="PT Sans" w:cstheme="minorHAnsi"/>
        </w:rPr>
        <w:t xml:space="preserve"> lze vypovědět i bez udání důvodu s výpovědní dobou 3 měsíce, která </w:t>
      </w:r>
      <w:r w:rsidRPr="00DC1623">
        <w:rPr>
          <w:rFonts w:ascii="PT Sans" w:hAnsi="PT Sans" w:cstheme="minorHAnsi"/>
        </w:rPr>
        <w:t>počíná běžet od prvního dne měsíce následujícího po doručení písemné výpovědi druhé smluvní straně.</w:t>
      </w:r>
    </w:p>
    <w:p w14:paraId="71F5E32C" w14:textId="77777777" w:rsidR="00433681" w:rsidRDefault="005E32C9" w:rsidP="00433681">
      <w:pPr>
        <w:spacing w:before="60" w:after="0" w:line="240" w:lineRule="auto"/>
        <w:jc w:val="both"/>
        <w:rPr>
          <w:rFonts w:ascii="PT Sans" w:hAnsi="PT Sans" w:cstheme="minorHAnsi"/>
        </w:rPr>
      </w:pPr>
      <w:r w:rsidRPr="00DC1623">
        <w:rPr>
          <w:rFonts w:ascii="PT Sans" w:hAnsi="PT Sans" w:cstheme="minorHAnsi"/>
        </w:rPr>
        <w:t>2) Smlouvu lze též ukončit písemnou dohodou obou smluvních stran.</w:t>
      </w:r>
    </w:p>
    <w:p w14:paraId="70FC290E" w14:textId="38916788" w:rsidR="003303C4" w:rsidRPr="00DC1623" w:rsidRDefault="00433681" w:rsidP="00DC1623">
      <w:pPr>
        <w:spacing w:before="60" w:after="0" w:line="240" w:lineRule="auto"/>
        <w:jc w:val="both"/>
        <w:rPr>
          <w:rFonts w:ascii="PT Sans" w:hAnsi="PT Sans" w:cstheme="minorHAnsi"/>
        </w:rPr>
      </w:pPr>
      <w:r>
        <w:rPr>
          <w:rFonts w:ascii="PT Sans" w:hAnsi="PT Sans" w:cstheme="minorHAnsi"/>
        </w:rPr>
        <w:t>3) Ukončí-li poskytovatel svoji činnost a poskytování zdravotních služeb, postupuje se</w:t>
      </w:r>
      <w:r w:rsidR="003B3FDC">
        <w:rPr>
          <w:rFonts w:ascii="PT Sans" w:hAnsi="PT Sans" w:cstheme="minorHAnsi"/>
        </w:rPr>
        <w:t xml:space="preserve"> ve vztahu ke zdravotnické dokumentaci o pracovnělékařských službách </w:t>
      </w:r>
      <w:r>
        <w:rPr>
          <w:rFonts w:ascii="PT Sans" w:hAnsi="PT Sans" w:cstheme="minorHAnsi"/>
        </w:rPr>
        <w:t xml:space="preserve">dle příslušných ustanovení zákona č. 372/2011 Sb. o zdravotních službách. </w:t>
      </w:r>
    </w:p>
    <w:p w14:paraId="24B383C0" w14:textId="77777777" w:rsidR="003303C4" w:rsidRPr="00DC1623" w:rsidRDefault="003303C4" w:rsidP="00DC1623">
      <w:pPr>
        <w:spacing w:before="60" w:after="0" w:line="240" w:lineRule="auto"/>
        <w:jc w:val="both"/>
        <w:rPr>
          <w:rFonts w:ascii="PT Sans" w:hAnsi="PT Sans" w:cstheme="minorHAnsi"/>
        </w:rPr>
      </w:pPr>
    </w:p>
    <w:p w14:paraId="1B42509C" w14:textId="59328944" w:rsidR="005E32C9" w:rsidRPr="00DC1623" w:rsidRDefault="003303C4" w:rsidP="00DC1623">
      <w:pPr>
        <w:spacing w:before="60" w:after="0" w:line="240" w:lineRule="auto"/>
        <w:jc w:val="center"/>
        <w:rPr>
          <w:rFonts w:ascii="PT Sans" w:hAnsi="PT Sans" w:cstheme="minorHAnsi"/>
          <w:b/>
          <w:bCs/>
        </w:rPr>
      </w:pPr>
      <w:r w:rsidRPr="00DC1623">
        <w:rPr>
          <w:rFonts w:ascii="PT Sans" w:hAnsi="PT Sans" w:cstheme="minorHAnsi"/>
          <w:b/>
          <w:bCs/>
        </w:rPr>
        <w:t>IX</w:t>
      </w:r>
      <w:r w:rsidR="005E32C9" w:rsidRPr="00DC1623">
        <w:rPr>
          <w:rFonts w:ascii="PT Sans" w:hAnsi="PT Sans" w:cstheme="minorHAnsi"/>
          <w:b/>
          <w:bCs/>
        </w:rPr>
        <w:t>.</w:t>
      </w:r>
    </w:p>
    <w:p w14:paraId="5A1B3754" w14:textId="77777777" w:rsidR="005E32C9" w:rsidRPr="00DC1623" w:rsidRDefault="005E32C9" w:rsidP="00DC1623">
      <w:pPr>
        <w:spacing w:before="60" w:after="0" w:line="240" w:lineRule="auto"/>
        <w:jc w:val="center"/>
        <w:rPr>
          <w:rFonts w:ascii="PT Sans" w:hAnsi="PT Sans" w:cstheme="minorHAnsi"/>
          <w:b/>
          <w:bCs/>
        </w:rPr>
      </w:pPr>
      <w:r w:rsidRPr="00DC1623">
        <w:rPr>
          <w:rFonts w:ascii="PT Sans" w:hAnsi="PT Sans" w:cstheme="minorHAnsi"/>
          <w:b/>
          <w:bCs/>
        </w:rPr>
        <w:t>Závěrečná ustanovení</w:t>
      </w:r>
    </w:p>
    <w:p w14:paraId="6126765E" w14:textId="634ECDF0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1) Tato smlouva nabývá účinnosti dnem </w:t>
      </w:r>
      <w:r w:rsidR="003303C4" w:rsidRPr="00DC1623">
        <w:rPr>
          <w:rFonts w:ascii="PT Sans" w:hAnsi="PT Sans" w:cstheme="minorHAnsi"/>
          <w:bCs/>
        </w:rPr>
        <w:t xml:space="preserve">jejího zveřejnění v registru smluv, její zveřejnění zajistí objednatel. Smluvní strany prohlašují, že žádná část obsahu této smlouvy není jejich obchodním tajemstvím. </w:t>
      </w:r>
    </w:p>
    <w:p w14:paraId="1B97E0B9" w14:textId="116750DF" w:rsidR="005E32C9" w:rsidRDefault="005E32C9" w:rsidP="004116D0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>2) Tato smlouva může být měněna pouze formou písemných dodatků, a to se souhlasem obou smluvních stran</w:t>
      </w:r>
      <w:r w:rsidR="00BC703F">
        <w:rPr>
          <w:rFonts w:ascii="PT Sans" w:hAnsi="PT Sans" w:cstheme="minorHAnsi"/>
          <w:bCs/>
        </w:rPr>
        <w:t xml:space="preserve"> s výjimkou kontaktních osob uvedených v čl. VI</w:t>
      </w:r>
      <w:r w:rsidR="004116D0">
        <w:rPr>
          <w:rFonts w:ascii="PT Sans" w:hAnsi="PT Sans" w:cstheme="minorHAnsi"/>
          <w:bCs/>
        </w:rPr>
        <w:t>.</w:t>
      </w:r>
      <w:r w:rsidR="00BC703F">
        <w:rPr>
          <w:rFonts w:ascii="PT Sans" w:hAnsi="PT Sans" w:cstheme="minorHAnsi"/>
          <w:bCs/>
        </w:rPr>
        <w:t xml:space="preserve"> této smlouvy</w:t>
      </w:r>
      <w:r w:rsidRPr="00DC1623">
        <w:rPr>
          <w:rFonts w:ascii="PT Sans" w:hAnsi="PT Sans" w:cstheme="minorHAnsi"/>
          <w:bCs/>
        </w:rPr>
        <w:t>.</w:t>
      </w:r>
    </w:p>
    <w:p w14:paraId="2C94D441" w14:textId="46230BC2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3) Tato smlouva je vyhotovena ve </w:t>
      </w:r>
      <w:r w:rsidR="003303C4" w:rsidRPr="00DC1623">
        <w:rPr>
          <w:rFonts w:ascii="PT Sans" w:hAnsi="PT Sans" w:cstheme="minorHAnsi"/>
          <w:bCs/>
        </w:rPr>
        <w:t>dvou</w:t>
      </w:r>
      <w:r w:rsidRPr="00DC1623">
        <w:rPr>
          <w:rFonts w:ascii="PT Sans" w:hAnsi="PT Sans" w:cstheme="minorHAnsi"/>
          <w:bCs/>
        </w:rPr>
        <w:t xml:space="preserve"> stejnopisech, z nichž každá smluvní strana obdrží </w:t>
      </w:r>
      <w:r w:rsidR="003303C4" w:rsidRPr="00DC1623">
        <w:rPr>
          <w:rFonts w:ascii="PT Sans" w:hAnsi="PT Sans" w:cstheme="minorHAnsi"/>
          <w:bCs/>
        </w:rPr>
        <w:t xml:space="preserve">jedno </w:t>
      </w:r>
      <w:r w:rsidRPr="00DC1623">
        <w:rPr>
          <w:rFonts w:ascii="PT Sans" w:hAnsi="PT Sans" w:cstheme="minorHAnsi"/>
          <w:bCs/>
        </w:rPr>
        <w:t>vyhotovení.</w:t>
      </w:r>
      <w:r w:rsidR="00433681">
        <w:rPr>
          <w:rFonts w:ascii="PT Sans" w:hAnsi="PT Sans" w:cstheme="minorHAnsi"/>
          <w:bCs/>
        </w:rPr>
        <w:t xml:space="preserve"> Tuto smlouvu lze uzavřít i v elektronické podobě. </w:t>
      </w:r>
    </w:p>
    <w:p w14:paraId="0EF3F7F7" w14:textId="647FBA12" w:rsidR="003303C4" w:rsidRPr="00DC1623" w:rsidRDefault="003303C4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</w:p>
    <w:p w14:paraId="5100DD57" w14:textId="1B04B9CD" w:rsidR="009D2784" w:rsidRPr="00DC1623" w:rsidRDefault="009D2784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>Za poskytovatele:</w:t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  <w:t xml:space="preserve">Za objednatele: </w:t>
      </w:r>
    </w:p>
    <w:p w14:paraId="649F7A2F" w14:textId="77777777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</w:p>
    <w:p w14:paraId="2A569780" w14:textId="3C804DFD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>V</w:t>
      </w:r>
      <w:r w:rsidR="009D2784" w:rsidRPr="00DC1623">
        <w:rPr>
          <w:rFonts w:ascii="PT Sans" w:hAnsi="PT Sans" w:cstheme="minorHAnsi"/>
          <w:bCs/>
          <w:highlight w:val="yellow"/>
        </w:rPr>
        <w:t>……………</w:t>
      </w:r>
      <w:r w:rsidR="009D2784" w:rsidRPr="00DC1623">
        <w:rPr>
          <w:rFonts w:ascii="PT Sans" w:hAnsi="PT Sans" w:cstheme="minorHAnsi"/>
          <w:bCs/>
        </w:rPr>
        <w:t xml:space="preserve"> d</w:t>
      </w:r>
      <w:r w:rsidRPr="00DC1623">
        <w:rPr>
          <w:rFonts w:ascii="PT Sans" w:hAnsi="PT Sans" w:cstheme="minorHAnsi"/>
          <w:bCs/>
        </w:rPr>
        <w:t>ne:</w:t>
      </w:r>
      <w:r w:rsidR="009D2784" w:rsidRPr="00DC1623">
        <w:rPr>
          <w:rFonts w:ascii="PT Sans" w:hAnsi="PT Sans" w:cstheme="minorHAnsi"/>
          <w:bCs/>
        </w:rPr>
        <w:tab/>
      </w:r>
      <w:r w:rsidR="009D2784" w:rsidRPr="00DC1623">
        <w:rPr>
          <w:rFonts w:ascii="PT Sans" w:hAnsi="PT Sans" w:cstheme="minorHAnsi"/>
          <w:bCs/>
        </w:rPr>
        <w:tab/>
      </w:r>
      <w:r w:rsidR="009D2784" w:rsidRPr="00DC1623">
        <w:rPr>
          <w:rFonts w:ascii="PT Sans" w:hAnsi="PT Sans" w:cstheme="minorHAnsi"/>
          <w:bCs/>
        </w:rPr>
        <w:tab/>
      </w:r>
      <w:r w:rsidR="009D2784" w:rsidRPr="00DC1623">
        <w:rPr>
          <w:rFonts w:ascii="PT Sans" w:hAnsi="PT Sans" w:cstheme="minorHAnsi"/>
          <w:bCs/>
        </w:rPr>
        <w:tab/>
      </w:r>
      <w:r w:rsidR="009D2784" w:rsidRPr="00DC1623">
        <w:rPr>
          <w:rFonts w:ascii="PT Sans" w:hAnsi="PT Sans" w:cstheme="minorHAnsi"/>
          <w:bCs/>
        </w:rPr>
        <w:tab/>
        <w:t xml:space="preserve">Ve Znojmě dne: </w:t>
      </w:r>
    </w:p>
    <w:p w14:paraId="56FECAD6" w14:textId="77777777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 </w:t>
      </w:r>
    </w:p>
    <w:p w14:paraId="30E89185" w14:textId="77777777" w:rsidR="009D2784" w:rsidRPr="00DC1623" w:rsidRDefault="009D2784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</w:p>
    <w:p w14:paraId="1A94C540" w14:textId="77777777" w:rsidR="009D2784" w:rsidRPr="00DC1623" w:rsidRDefault="009D2784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</w:p>
    <w:p w14:paraId="07B85C92" w14:textId="77777777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 </w:t>
      </w:r>
    </w:p>
    <w:p w14:paraId="46C404EF" w14:textId="0E9E34B5" w:rsidR="005E32C9" w:rsidRPr="00DC1623" w:rsidRDefault="005E32C9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</w:rPr>
        <w:t xml:space="preserve">…………………………………………..                   </w:t>
      </w:r>
      <w:r w:rsidR="00757490" w:rsidRPr="00DC1623">
        <w:rPr>
          <w:rFonts w:ascii="PT Sans" w:hAnsi="PT Sans" w:cstheme="minorHAnsi"/>
          <w:bCs/>
        </w:rPr>
        <w:tab/>
      </w:r>
      <w:r w:rsidR="00757490"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>………………………………………</w:t>
      </w:r>
      <w:r w:rsidR="009D2784" w:rsidRPr="00DC1623">
        <w:rPr>
          <w:rFonts w:ascii="PT Sans" w:hAnsi="PT Sans" w:cstheme="minorHAnsi"/>
          <w:bCs/>
        </w:rPr>
        <w:t>………………….</w:t>
      </w:r>
    </w:p>
    <w:p w14:paraId="7776C1B4" w14:textId="77777777" w:rsidR="009D2784" w:rsidRPr="00DC1623" w:rsidRDefault="009D2784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  <w:highlight w:val="yellow"/>
        </w:rPr>
        <w:t>XXXXXXXXXXXXXXXXXXXX</w:t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  <w:t>MUDr. Martin Pavlík, Ph.D., DESA, EDIC</w:t>
      </w:r>
    </w:p>
    <w:p w14:paraId="7AD0D00F" w14:textId="10C3171D" w:rsidR="005E32C9" w:rsidRPr="00DC1623" w:rsidRDefault="009D2784" w:rsidP="00DC1623">
      <w:pPr>
        <w:spacing w:before="60" w:after="0" w:line="240" w:lineRule="auto"/>
        <w:jc w:val="both"/>
        <w:rPr>
          <w:rFonts w:ascii="PT Sans" w:hAnsi="PT Sans" w:cstheme="minorHAnsi"/>
          <w:bCs/>
        </w:rPr>
      </w:pPr>
      <w:r w:rsidRPr="00DC1623">
        <w:rPr>
          <w:rFonts w:ascii="PT Sans" w:hAnsi="PT Sans" w:cstheme="minorHAnsi"/>
          <w:bCs/>
          <w:highlight w:val="yellow"/>
        </w:rPr>
        <w:t>XXXXXXXXXXXXXXXXXXXX</w:t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</w:r>
      <w:r w:rsidRPr="00DC1623">
        <w:rPr>
          <w:rFonts w:ascii="PT Sans" w:hAnsi="PT Sans" w:cstheme="minorHAnsi"/>
          <w:bCs/>
        </w:rPr>
        <w:tab/>
        <w:t>ředitel</w:t>
      </w:r>
      <w:r w:rsidR="005E32C9" w:rsidRPr="00DC1623">
        <w:rPr>
          <w:rFonts w:ascii="PT Sans" w:hAnsi="PT Sans" w:cstheme="minorHAnsi"/>
          <w:bCs/>
        </w:rPr>
        <w:t xml:space="preserve">      </w:t>
      </w:r>
      <w:bookmarkEnd w:id="0"/>
    </w:p>
    <w:sectPr w:rsidR="005E32C9" w:rsidRPr="00DC1623" w:rsidSect="00671EDE">
      <w:headerReference w:type="default" r:id="rId9"/>
      <w:footerReference w:type="default" r:id="rId10"/>
      <w:type w:val="continuous"/>
      <w:pgSz w:w="11906" w:h="16838" w:code="9"/>
      <w:pgMar w:top="1135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33504" w14:textId="77777777" w:rsidR="00DC69F7" w:rsidRDefault="00DC69F7" w:rsidP="00653A72">
      <w:pPr>
        <w:spacing w:after="0" w:line="240" w:lineRule="auto"/>
      </w:pPr>
      <w:r>
        <w:separator/>
      </w:r>
    </w:p>
  </w:endnote>
  <w:endnote w:type="continuationSeparator" w:id="0">
    <w:p w14:paraId="394D8CBA" w14:textId="77777777" w:rsidR="00DC69F7" w:rsidRDefault="00DC69F7" w:rsidP="00653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AF9C1" w14:textId="77777777" w:rsidR="005E32C9" w:rsidRDefault="00747493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2286">
      <w:rPr>
        <w:noProof/>
      </w:rPr>
      <w:t>3</w:t>
    </w:r>
    <w:r>
      <w:rPr>
        <w:noProof/>
      </w:rPr>
      <w:fldChar w:fldCharType="end"/>
    </w:r>
  </w:p>
  <w:p w14:paraId="066C3869" w14:textId="77777777" w:rsidR="005E32C9" w:rsidRDefault="005E32C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42216" w14:textId="77777777" w:rsidR="00DC69F7" w:rsidRDefault="00DC69F7" w:rsidP="00653A72">
      <w:pPr>
        <w:spacing w:after="0" w:line="240" w:lineRule="auto"/>
      </w:pPr>
      <w:r>
        <w:separator/>
      </w:r>
    </w:p>
  </w:footnote>
  <w:footnote w:type="continuationSeparator" w:id="0">
    <w:p w14:paraId="13C94E28" w14:textId="77777777" w:rsidR="00DC69F7" w:rsidRDefault="00DC69F7" w:rsidP="00653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51AA" w14:textId="5301D656" w:rsidR="00757490" w:rsidRDefault="00757490" w:rsidP="00757490">
    <w:pPr>
      <w:pStyle w:val="Kopfzeile"/>
      <w:jc w:val="right"/>
    </w:pPr>
    <w:r>
      <w:t>OST/2023/</w:t>
    </w:r>
  </w:p>
  <w:p w14:paraId="7778F297" w14:textId="77777777" w:rsidR="00757490" w:rsidRDefault="007574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3D2F7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788E3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83453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825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D5CBB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628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0E2F4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CA87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C8AF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560F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0B41"/>
    <w:multiLevelType w:val="hybridMultilevel"/>
    <w:tmpl w:val="A16C4408"/>
    <w:lvl w:ilvl="0" w:tplc="7B8ACF44">
      <w:start w:val="1"/>
      <w:numFmt w:val="ordinal"/>
      <w:lvlText w:val="3.%1"/>
      <w:lvlJc w:val="left"/>
      <w:pPr>
        <w:ind w:left="285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8ACF44">
      <w:start w:val="1"/>
      <w:numFmt w:val="ordinal"/>
      <w:lvlText w:val="3.%3"/>
      <w:lvlJc w:val="left"/>
      <w:pPr>
        <w:ind w:left="2160" w:hanging="18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A608D1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A7B3D0D"/>
    <w:multiLevelType w:val="hybridMultilevel"/>
    <w:tmpl w:val="E33ABC4A"/>
    <w:lvl w:ilvl="0" w:tplc="5DD4E3E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1D5037B4"/>
    <w:multiLevelType w:val="hybridMultilevel"/>
    <w:tmpl w:val="2B3608E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D3673F"/>
    <w:multiLevelType w:val="hybridMultilevel"/>
    <w:tmpl w:val="DF08ED6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124A4E"/>
    <w:multiLevelType w:val="hybridMultilevel"/>
    <w:tmpl w:val="AB9E3EAA"/>
    <w:lvl w:ilvl="0" w:tplc="B1824F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010212"/>
    <w:multiLevelType w:val="hybridMultilevel"/>
    <w:tmpl w:val="4998A91E"/>
    <w:lvl w:ilvl="0" w:tplc="0AA4B8F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D7A98"/>
    <w:multiLevelType w:val="hybridMultilevel"/>
    <w:tmpl w:val="F3328B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9BD3477"/>
    <w:multiLevelType w:val="hybridMultilevel"/>
    <w:tmpl w:val="7D9A24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616A5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D591ACF"/>
    <w:multiLevelType w:val="hybridMultilevel"/>
    <w:tmpl w:val="4E385122"/>
    <w:lvl w:ilvl="0" w:tplc="B1824F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AB2990"/>
    <w:multiLevelType w:val="hybridMultilevel"/>
    <w:tmpl w:val="FBCA35BE"/>
    <w:lvl w:ilvl="0" w:tplc="3EFCAC14">
      <w:start w:val="1"/>
      <w:numFmt w:val="upperRoman"/>
      <w:lvlText w:val="%1."/>
      <w:lvlJc w:val="left"/>
      <w:pPr>
        <w:tabs>
          <w:tab w:val="num" w:pos="2505"/>
        </w:tabs>
        <w:ind w:left="2505" w:hanging="705"/>
      </w:pPr>
      <w:rPr>
        <w:rFonts w:cs="Times New Roman" w:hint="default"/>
        <w:b/>
      </w:rPr>
    </w:lvl>
    <w:lvl w:ilvl="1" w:tplc="AA4A8DC4">
      <w:start w:val="1"/>
      <w:numFmt w:val="decimal"/>
      <w:lvlText w:val="%2."/>
      <w:lvlJc w:val="left"/>
      <w:pPr>
        <w:tabs>
          <w:tab w:val="num" w:pos="1515"/>
        </w:tabs>
        <w:ind w:left="1515" w:hanging="435"/>
      </w:pPr>
      <w:rPr>
        <w:rFonts w:cs="Times New Roman" w:hint="default"/>
        <w:b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4200486"/>
    <w:multiLevelType w:val="hybridMultilevel"/>
    <w:tmpl w:val="EA069860"/>
    <w:lvl w:ilvl="0" w:tplc="9D740414">
      <w:start w:val="1"/>
      <w:numFmt w:val="lowerLetter"/>
      <w:lvlText w:val="%1)"/>
      <w:lvlJc w:val="left"/>
      <w:pPr>
        <w:ind w:left="15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0" w:hanging="360"/>
      </w:pPr>
    </w:lvl>
    <w:lvl w:ilvl="2" w:tplc="0405001B" w:tentative="1">
      <w:start w:val="1"/>
      <w:numFmt w:val="lowerRoman"/>
      <w:lvlText w:val="%3."/>
      <w:lvlJc w:val="right"/>
      <w:pPr>
        <w:ind w:left="3020" w:hanging="180"/>
      </w:pPr>
    </w:lvl>
    <w:lvl w:ilvl="3" w:tplc="0405000F" w:tentative="1">
      <w:start w:val="1"/>
      <w:numFmt w:val="decimal"/>
      <w:lvlText w:val="%4."/>
      <w:lvlJc w:val="left"/>
      <w:pPr>
        <w:ind w:left="3740" w:hanging="360"/>
      </w:pPr>
    </w:lvl>
    <w:lvl w:ilvl="4" w:tplc="04050019" w:tentative="1">
      <w:start w:val="1"/>
      <w:numFmt w:val="lowerLetter"/>
      <w:lvlText w:val="%5."/>
      <w:lvlJc w:val="left"/>
      <w:pPr>
        <w:ind w:left="4460" w:hanging="360"/>
      </w:pPr>
    </w:lvl>
    <w:lvl w:ilvl="5" w:tplc="0405001B" w:tentative="1">
      <w:start w:val="1"/>
      <w:numFmt w:val="lowerRoman"/>
      <w:lvlText w:val="%6."/>
      <w:lvlJc w:val="right"/>
      <w:pPr>
        <w:ind w:left="5180" w:hanging="180"/>
      </w:pPr>
    </w:lvl>
    <w:lvl w:ilvl="6" w:tplc="0405000F" w:tentative="1">
      <w:start w:val="1"/>
      <w:numFmt w:val="decimal"/>
      <w:lvlText w:val="%7."/>
      <w:lvlJc w:val="left"/>
      <w:pPr>
        <w:ind w:left="5900" w:hanging="360"/>
      </w:pPr>
    </w:lvl>
    <w:lvl w:ilvl="7" w:tplc="04050019" w:tentative="1">
      <w:start w:val="1"/>
      <w:numFmt w:val="lowerLetter"/>
      <w:lvlText w:val="%8."/>
      <w:lvlJc w:val="left"/>
      <w:pPr>
        <w:ind w:left="6620" w:hanging="360"/>
      </w:pPr>
    </w:lvl>
    <w:lvl w:ilvl="8" w:tplc="0405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3" w15:restartNumberingAfterBreak="0">
    <w:nsid w:val="56400E34"/>
    <w:multiLevelType w:val="hybridMultilevel"/>
    <w:tmpl w:val="BE0098D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CC49A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C6146920">
      <w:start w:val="3"/>
      <w:numFmt w:val="bullet"/>
      <w:lvlText w:val="-"/>
      <w:lvlJc w:val="left"/>
      <w:pPr>
        <w:ind w:left="2880" w:hanging="360"/>
      </w:pPr>
      <w:rPr>
        <w:rFonts w:ascii="Calibri" w:eastAsia="Times New Roman" w:hAnsi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4C450D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9851E5F"/>
    <w:multiLevelType w:val="hybridMultilevel"/>
    <w:tmpl w:val="C4A44C60"/>
    <w:lvl w:ilvl="0" w:tplc="1E04E9D8">
      <w:start w:val="1"/>
      <w:numFmt w:val="decimal"/>
      <w:lvlText w:val="3.1.%1"/>
      <w:lvlJc w:val="left"/>
      <w:pPr>
        <w:ind w:left="14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23C6D72"/>
    <w:multiLevelType w:val="hybridMultilevel"/>
    <w:tmpl w:val="14A8D076"/>
    <w:lvl w:ilvl="0" w:tplc="2F309F9E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4CF2E19"/>
    <w:multiLevelType w:val="hybridMultilevel"/>
    <w:tmpl w:val="42204F14"/>
    <w:lvl w:ilvl="0" w:tplc="B1824F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4D159AE"/>
    <w:multiLevelType w:val="hybridMultilevel"/>
    <w:tmpl w:val="03D2F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97601"/>
    <w:multiLevelType w:val="hybridMultilevel"/>
    <w:tmpl w:val="8DC8B920"/>
    <w:lvl w:ilvl="0" w:tplc="B1824F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76513426">
    <w:abstractNumId w:val="23"/>
  </w:num>
  <w:num w:numId="2" w16cid:durableId="526522597">
    <w:abstractNumId w:val="14"/>
  </w:num>
  <w:num w:numId="3" w16cid:durableId="1453135155">
    <w:abstractNumId w:val="25"/>
  </w:num>
  <w:num w:numId="4" w16cid:durableId="2038502611">
    <w:abstractNumId w:val="10"/>
  </w:num>
  <w:num w:numId="5" w16cid:durableId="281890454">
    <w:abstractNumId w:val="27"/>
  </w:num>
  <w:num w:numId="6" w16cid:durableId="127548896">
    <w:abstractNumId w:val="29"/>
  </w:num>
  <w:num w:numId="7" w16cid:durableId="989099128">
    <w:abstractNumId w:val="15"/>
  </w:num>
  <w:num w:numId="8" w16cid:durableId="1367487447">
    <w:abstractNumId w:val="20"/>
  </w:num>
  <w:num w:numId="9" w16cid:durableId="2141216592">
    <w:abstractNumId w:val="24"/>
  </w:num>
  <w:num w:numId="10" w16cid:durableId="1248538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237933">
    <w:abstractNumId w:val="8"/>
  </w:num>
  <w:num w:numId="12" w16cid:durableId="765539943">
    <w:abstractNumId w:val="3"/>
  </w:num>
  <w:num w:numId="13" w16cid:durableId="1701708141">
    <w:abstractNumId w:val="2"/>
  </w:num>
  <w:num w:numId="14" w16cid:durableId="1874145829">
    <w:abstractNumId w:val="1"/>
  </w:num>
  <w:num w:numId="15" w16cid:durableId="413822460">
    <w:abstractNumId w:val="0"/>
  </w:num>
  <w:num w:numId="16" w16cid:durableId="2005542961">
    <w:abstractNumId w:val="9"/>
  </w:num>
  <w:num w:numId="17" w16cid:durableId="135727763">
    <w:abstractNumId w:val="7"/>
  </w:num>
  <w:num w:numId="18" w16cid:durableId="1673794126">
    <w:abstractNumId w:val="6"/>
  </w:num>
  <w:num w:numId="19" w16cid:durableId="1846092976">
    <w:abstractNumId w:val="5"/>
  </w:num>
  <w:num w:numId="20" w16cid:durableId="436945004">
    <w:abstractNumId w:val="4"/>
  </w:num>
  <w:num w:numId="21" w16cid:durableId="260916081">
    <w:abstractNumId w:val="21"/>
  </w:num>
  <w:num w:numId="22" w16cid:durableId="1734543416">
    <w:abstractNumId w:val="11"/>
  </w:num>
  <w:num w:numId="23" w16cid:durableId="971178920">
    <w:abstractNumId w:val="19"/>
  </w:num>
  <w:num w:numId="24" w16cid:durableId="76220659">
    <w:abstractNumId w:val="18"/>
  </w:num>
  <w:num w:numId="25" w16cid:durableId="1823308377">
    <w:abstractNumId w:val="17"/>
  </w:num>
  <w:num w:numId="26" w16cid:durableId="1902861979">
    <w:abstractNumId w:val="13"/>
  </w:num>
  <w:num w:numId="27" w16cid:durableId="361443185">
    <w:abstractNumId w:val="12"/>
  </w:num>
  <w:num w:numId="28" w16cid:durableId="1026950273">
    <w:abstractNumId w:val="28"/>
  </w:num>
  <w:num w:numId="29" w16cid:durableId="268856679">
    <w:abstractNumId w:val="22"/>
  </w:num>
  <w:num w:numId="30" w16cid:durableId="16428029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23"/>
    <w:rsid w:val="00000F1B"/>
    <w:rsid w:val="000552B0"/>
    <w:rsid w:val="000B13AA"/>
    <w:rsid w:val="000B2173"/>
    <w:rsid w:val="000B2D0A"/>
    <w:rsid w:val="000D7908"/>
    <w:rsid w:val="000E2EC8"/>
    <w:rsid w:val="00102950"/>
    <w:rsid w:val="001075BA"/>
    <w:rsid w:val="001101D3"/>
    <w:rsid w:val="00110FF0"/>
    <w:rsid w:val="001129CD"/>
    <w:rsid w:val="00113D86"/>
    <w:rsid w:val="00122B6B"/>
    <w:rsid w:val="00133A79"/>
    <w:rsid w:val="001349CC"/>
    <w:rsid w:val="00137016"/>
    <w:rsid w:val="0014116F"/>
    <w:rsid w:val="0014272B"/>
    <w:rsid w:val="001575CD"/>
    <w:rsid w:val="0016280E"/>
    <w:rsid w:val="00182E21"/>
    <w:rsid w:val="001A42F6"/>
    <w:rsid w:val="001D4623"/>
    <w:rsid w:val="001D5057"/>
    <w:rsid w:val="00220D8C"/>
    <w:rsid w:val="002252FB"/>
    <w:rsid w:val="00236ABC"/>
    <w:rsid w:val="00253793"/>
    <w:rsid w:val="00277DC4"/>
    <w:rsid w:val="00280B95"/>
    <w:rsid w:val="0029305C"/>
    <w:rsid w:val="002A3E68"/>
    <w:rsid w:val="002B7EFE"/>
    <w:rsid w:val="002F53D2"/>
    <w:rsid w:val="002F665A"/>
    <w:rsid w:val="00302DD3"/>
    <w:rsid w:val="0030775B"/>
    <w:rsid w:val="00317816"/>
    <w:rsid w:val="0032430D"/>
    <w:rsid w:val="003303C4"/>
    <w:rsid w:val="0033547D"/>
    <w:rsid w:val="00337099"/>
    <w:rsid w:val="00380CC5"/>
    <w:rsid w:val="00385E3A"/>
    <w:rsid w:val="00394CBC"/>
    <w:rsid w:val="003B3FDC"/>
    <w:rsid w:val="003B40DB"/>
    <w:rsid w:val="003B6F83"/>
    <w:rsid w:val="003C1EDB"/>
    <w:rsid w:val="003D116B"/>
    <w:rsid w:val="003D7AE6"/>
    <w:rsid w:val="003E52CE"/>
    <w:rsid w:val="003F10E3"/>
    <w:rsid w:val="004116D0"/>
    <w:rsid w:val="00426246"/>
    <w:rsid w:val="00433681"/>
    <w:rsid w:val="0044492E"/>
    <w:rsid w:val="004544F3"/>
    <w:rsid w:val="004B340A"/>
    <w:rsid w:val="004D718D"/>
    <w:rsid w:val="004D7A89"/>
    <w:rsid w:val="004F73D7"/>
    <w:rsid w:val="005031FF"/>
    <w:rsid w:val="00506E1F"/>
    <w:rsid w:val="00540B52"/>
    <w:rsid w:val="00551B26"/>
    <w:rsid w:val="0055750C"/>
    <w:rsid w:val="00576342"/>
    <w:rsid w:val="005B4507"/>
    <w:rsid w:val="005E32C9"/>
    <w:rsid w:val="005E4AE4"/>
    <w:rsid w:val="00613635"/>
    <w:rsid w:val="0062345F"/>
    <w:rsid w:val="006327A9"/>
    <w:rsid w:val="00640CA4"/>
    <w:rsid w:val="00643A1C"/>
    <w:rsid w:val="00653A72"/>
    <w:rsid w:val="006547AC"/>
    <w:rsid w:val="00671EDE"/>
    <w:rsid w:val="006836F5"/>
    <w:rsid w:val="00691426"/>
    <w:rsid w:val="006A0213"/>
    <w:rsid w:val="006B00C9"/>
    <w:rsid w:val="006C440A"/>
    <w:rsid w:val="006F3C2B"/>
    <w:rsid w:val="007007EA"/>
    <w:rsid w:val="007033F1"/>
    <w:rsid w:val="00713C32"/>
    <w:rsid w:val="00726CD3"/>
    <w:rsid w:val="007317A1"/>
    <w:rsid w:val="00747493"/>
    <w:rsid w:val="00757490"/>
    <w:rsid w:val="00760D3D"/>
    <w:rsid w:val="0077418A"/>
    <w:rsid w:val="00776BEB"/>
    <w:rsid w:val="00786F85"/>
    <w:rsid w:val="00791554"/>
    <w:rsid w:val="007C004E"/>
    <w:rsid w:val="007C047C"/>
    <w:rsid w:val="007D1144"/>
    <w:rsid w:val="007E2828"/>
    <w:rsid w:val="007F3577"/>
    <w:rsid w:val="00807800"/>
    <w:rsid w:val="00825C70"/>
    <w:rsid w:val="00850F50"/>
    <w:rsid w:val="00862005"/>
    <w:rsid w:val="00882AA2"/>
    <w:rsid w:val="00884A8A"/>
    <w:rsid w:val="00890226"/>
    <w:rsid w:val="008903FE"/>
    <w:rsid w:val="008C07C2"/>
    <w:rsid w:val="008C5E5D"/>
    <w:rsid w:val="008C6FF2"/>
    <w:rsid w:val="008D42C6"/>
    <w:rsid w:val="008E6C99"/>
    <w:rsid w:val="00902600"/>
    <w:rsid w:val="00905B08"/>
    <w:rsid w:val="00906238"/>
    <w:rsid w:val="00924AA5"/>
    <w:rsid w:val="009611B4"/>
    <w:rsid w:val="00963E59"/>
    <w:rsid w:val="00967D4A"/>
    <w:rsid w:val="0098006A"/>
    <w:rsid w:val="00982F54"/>
    <w:rsid w:val="00985DBD"/>
    <w:rsid w:val="009865BC"/>
    <w:rsid w:val="009871A3"/>
    <w:rsid w:val="009A1724"/>
    <w:rsid w:val="009D2784"/>
    <w:rsid w:val="00A06E6A"/>
    <w:rsid w:val="00A0761F"/>
    <w:rsid w:val="00A10CA4"/>
    <w:rsid w:val="00A46B4B"/>
    <w:rsid w:val="00A52E4D"/>
    <w:rsid w:val="00A52F80"/>
    <w:rsid w:val="00A57941"/>
    <w:rsid w:val="00A646DF"/>
    <w:rsid w:val="00A77B42"/>
    <w:rsid w:val="00A84861"/>
    <w:rsid w:val="00AA3BCE"/>
    <w:rsid w:val="00AE3151"/>
    <w:rsid w:val="00AF691B"/>
    <w:rsid w:val="00B23EA2"/>
    <w:rsid w:val="00B25399"/>
    <w:rsid w:val="00B27E28"/>
    <w:rsid w:val="00B42286"/>
    <w:rsid w:val="00B52CB7"/>
    <w:rsid w:val="00B56AC4"/>
    <w:rsid w:val="00B7662F"/>
    <w:rsid w:val="00B80358"/>
    <w:rsid w:val="00B82271"/>
    <w:rsid w:val="00B83CEC"/>
    <w:rsid w:val="00B95FAC"/>
    <w:rsid w:val="00BB4A99"/>
    <w:rsid w:val="00BC0248"/>
    <w:rsid w:val="00BC703F"/>
    <w:rsid w:val="00BD44D7"/>
    <w:rsid w:val="00BE04A6"/>
    <w:rsid w:val="00BF7BAA"/>
    <w:rsid w:val="00C16F5B"/>
    <w:rsid w:val="00C41A50"/>
    <w:rsid w:val="00C46987"/>
    <w:rsid w:val="00C566FA"/>
    <w:rsid w:val="00C6443C"/>
    <w:rsid w:val="00C72ABE"/>
    <w:rsid w:val="00C8332A"/>
    <w:rsid w:val="00CB3035"/>
    <w:rsid w:val="00CC1620"/>
    <w:rsid w:val="00CE3EBA"/>
    <w:rsid w:val="00CE4FE1"/>
    <w:rsid w:val="00CE6126"/>
    <w:rsid w:val="00D069C8"/>
    <w:rsid w:val="00D152DA"/>
    <w:rsid w:val="00D60B05"/>
    <w:rsid w:val="00D65714"/>
    <w:rsid w:val="00D71359"/>
    <w:rsid w:val="00D8179A"/>
    <w:rsid w:val="00DA5D07"/>
    <w:rsid w:val="00DC1623"/>
    <w:rsid w:val="00DC69F7"/>
    <w:rsid w:val="00DD0309"/>
    <w:rsid w:val="00DD0E86"/>
    <w:rsid w:val="00DD14EF"/>
    <w:rsid w:val="00E00CCB"/>
    <w:rsid w:val="00E07677"/>
    <w:rsid w:val="00E14C93"/>
    <w:rsid w:val="00E310EE"/>
    <w:rsid w:val="00EA1B9F"/>
    <w:rsid w:val="00EA52E8"/>
    <w:rsid w:val="00EB0AA6"/>
    <w:rsid w:val="00EB4549"/>
    <w:rsid w:val="00EE6C38"/>
    <w:rsid w:val="00EF4365"/>
    <w:rsid w:val="00F018C7"/>
    <w:rsid w:val="00F066C8"/>
    <w:rsid w:val="00F12C21"/>
    <w:rsid w:val="00F177CE"/>
    <w:rsid w:val="00F34329"/>
    <w:rsid w:val="00F4174E"/>
    <w:rsid w:val="00F505F3"/>
    <w:rsid w:val="00F87110"/>
    <w:rsid w:val="00F94E03"/>
    <w:rsid w:val="00FB3F32"/>
    <w:rsid w:val="00FB6325"/>
    <w:rsid w:val="00FB6A9D"/>
    <w:rsid w:val="00FC06C3"/>
    <w:rsid w:val="00FD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8C0CD2"/>
  <w15:docId w15:val="{6ABF9A37-A23C-480C-8D1F-6A772DF1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00C9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A52E4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rsid w:val="00653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653A72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653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653A72"/>
    <w:rPr>
      <w:rFonts w:cs="Times New Roman"/>
    </w:rPr>
  </w:style>
  <w:style w:type="character" w:styleId="Hyperlink">
    <w:name w:val="Hyperlink"/>
    <w:basedOn w:val="Absatz-Standardschriftart"/>
    <w:uiPriority w:val="99"/>
    <w:unhideWhenUsed/>
    <w:rsid w:val="003303C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03C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3547D"/>
  </w:style>
  <w:style w:type="character" w:styleId="Kommentarzeichen">
    <w:name w:val="annotation reference"/>
    <w:basedOn w:val="Absatz-Standardschriftart"/>
    <w:uiPriority w:val="99"/>
    <w:semiHidden/>
    <w:unhideWhenUsed/>
    <w:rsid w:val="004449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92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492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92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49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aktury@nemz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a.vackova@nemzn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1805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POSKYTOVÁNÍ PRACOVNĚLÉKAŘSKÝCH SLUŽEB</vt:lpstr>
    </vt:vector>
  </TitlesOfParts>
  <Company>Krajský úřad Zlínského kraje.</Company>
  <LinksUpToDate>false</LinksUpToDate>
  <CharactersWithSpaces>12436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POSKYTOVÁNÍ PRACOVNĚLÉKAŘSKÝCH SLUŽEB</dc:title>
  <dc:subject/>
  <dc:creator>kadlecova</dc:creator>
  <cp:keywords/>
  <dc:description/>
  <cp:lastModifiedBy>Lenka Dvořáková, Ing.</cp:lastModifiedBy>
  <cp:revision>2</cp:revision>
  <cp:lastPrinted>2023-09-12T10:18:00Z</cp:lastPrinted>
  <dcterms:created xsi:type="dcterms:W3CDTF">2023-10-02T10:24:00Z</dcterms:created>
  <dcterms:modified xsi:type="dcterms:W3CDTF">2023-10-02T10:24:00Z</dcterms:modified>
</cp:coreProperties>
</file>